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keepNext/>
        <w:spacing w:after="60" w:before="0"/>
      </w:pPr>
      <w:r>
        <w:rPr>
          <w:rFonts w:ascii="Arial" w:cs="Arial" w:eastAsia="Arial" w:hAnsi="Arial"/>
          <w:b/>
          <w:bCs/>
          <w:color w:val="6B4C9A"/>
          <w:sz w:val="34"/>
          <w:szCs w:val="34"/>
        </w:rPr>
        <w:t xml:space="preserve">SafeLinQ Pilot Participation Agreement</w:t>
      </w:r>
    </w:p>
    <w:p>
      <w:pPr>
        <w:keepNext/>
        <w:pBdr>
          <w:bottom w:val="single" w:color="9482FF" w:sz="8" w:space="6"/>
        </w:pBdr>
        <w:spacing w:after="180" w:before="0"/>
      </w:pPr>
      <w:r>
        <w:rPr>
          <w:rFonts w:ascii="Arial" w:cs="Arial" w:eastAsia="Arial" w:hAnsi="Arial"/>
          <w:color w:val="5C6270"/>
          <w:sz w:val="20"/>
          <w:szCs w:val="20"/>
        </w:rPr>
        <w:t xml:space="preserve">SafeLinQ by CareTech  |  Resident Observation and Documentation Platform</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2500"/>
        <w:gridCol w:w="7580"/>
      </w:tblGrid>
      <w:tr>
        <w:trPr>
          <w:cantSplit/>
        </w:trPr>
        <w:tc>
          <w:tcPr>
            <w:tcW w:type="dxa" w:w="2500"/>
            <w:tcBorders>
              <w:top w:val="single" w:color="DFDAEC" w:sz="1"/>
              <w:left w:val="single" w:color="DFDAEC" w:sz="1"/>
              <w:bottom w:val="single" w:color="DFDAEC" w:sz="1"/>
              <w:right w:val="single" w:color="DFDAEC" w:sz="1"/>
            </w:tcBorders>
            <w:shd w:fill="FFFFFF" w:color="auto" w:val="clear"/>
            <w:tcMar>
              <w:top w:type="dxa" w:w="90"/>
              <w:left w:type="dxa" w:w="130"/>
              <w:bottom w:type="dxa" w:w="90"/>
              <w:right w:type="dxa" w:w="130"/>
            </w:tcMar>
            <w:vAlign w:val="center"/>
          </w:tcPr>
          <w:p>
            <w:pPr>
              <w:spacing w:after="0" w:before="0" w:line="250"/>
            </w:pPr>
            <w:r>
              <w:rPr>
                <w:rFonts w:ascii="Arial" w:cs="Arial" w:eastAsia="Arial" w:hAnsi="Arial"/>
                <w:b/>
                <w:bCs/>
                <w:i w:val="false"/>
                <w:iCs w:val="false"/>
                <w:color w:val="1F2430"/>
                <w:sz w:val="18"/>
                <w:szCs w:val="18"/>
              </w:rPr>
              <w:t xml:space="preserve">Document ID</w:t>
            </w:r>
          </w:p>
        </w:tc>
        <w:tc>
          <w:tcPr>
            <w:tcW w:type="dxa" w:w="7580"/>
            <w:tcBorders>
              <w:top w:val="single" w:color="DFDAEC" w:sz="1"/>
              <w:left w:val="single" w:color="DFDAEC" w:sz="1"/>
              <w:bottom w:val="single" w:color="DFDAEC" w:sz="1"/>
              <w:right w:val="single" w:color="DFDAEC" w:sz="1"/>
            </w:tcBorders>
            <w:shd w:fill="FFFFFF" w:color="auto" w:val="clear"/>
            <w:tcMar>
              <w:top w:type="dxa" w:w="90"/>
              <w:left w:type="dxa" w:w="130"/>
              <w:bottom w:type="dxa" w:w="90"/>
              <w:right w:type="dxa" w:w="130"/>
            </w:tcMar>
            <w:vAlign w:val="center"/>
          </w:tcPr>
          <w:p>
            <w:pPr>
              <w:spacing w:after="0" w:before="0" w:line="250"/>
            </w:pPr>
            <w:r>
              <w:rPr>
                <w:rFonts w:ascii="Arial" w:cs="Arial" w:eastAsia="Arial" w:hAnsi="Arial"/>
                <w:b w:val="false"/>
                <w:bCs w:val="false"/>
                <w:i w:val="false"/>
                <w:iCs w:val="false"/>
                <w:color w:val="1F2430"/>
                <w:sz w:val="18"/>
                <w:szCs w:val="18"/>
              </w:rPr>
              <w:t xml:space="preserve">CTG-CT-PILOT-001</w:t>
            </w:r>
          </w:p>
        </w:tc>
      </w:tr>
      <w:tr>
        <w:trPr>
          <w:cantSplit/>
        </w:trPr>
        <w:tc>
          <w:tcPr>
            <w:tcW w:type="dxa" w:w="2500"/>
            <w:tcBorders>
              <w:top w:val="single" w:color="DFDAEC" w:sz="1"/>
              <w:left w:val="single" w:color="DFDAEC" w:sz="1"/>
              <w:bottom w:val="single" w:color="DFDAEC" w:sz="1"/>
              <w:right w:val="single" w:color="DFDAEC" w:sz="1"/>
            </w:tcBorders>
            <w:shd w:fill="F6F4FA" w:color="auto" w:val="clear"/>
            <w:tcMar>
              <w:top w:type="dxa" w:w="90"/>
              <w:left w:type="dxa" w:w="130"/>
              <w:bottom w:type="dxa" w:w="90"/>
              <w:right w:type="dxa" w:w="130"/>
            </w:tcMar>
            <w:vAlign w:val="center"/>
          </w:tcPr>
          <w:p>
            <w:pPr>
              <w:spacing w:after="0" w:before="0" w:line="250"/>
            </w:pPr>
            <w:r>
              <w:rPr>
                <w:rFonts w:ascii="Arial" w:cs="Arial" w:eastAsia="Arial" w:hAnsi="Arial"/>
                <w:b/>
                <w:bCs/>
                <w:i w:val="false"/>
                <w:iCs w:val="false"/>
                <w:color w:val="1F2430"/>
                <w:sz w:val="18"/>
                <w:szCs w:val="18"/>
              </w:rPr>
              <w:t xml:space="preserve">Version</w:t>
            </w:r>
          </w:p>
        </w:tc>
        <w:tc>
          <w:tcPr>
            <w:tcW w:type="dxa" w:w="7580"/>
            <w:tcBorders>
              <w:top w:val="single" w:color="DFDAEC" w:sz="1"/>
              <w:left w:val="single" w:color="DFDAEC" w:sz="1"/>
              <w:bottom w:val="single" w:color="DFDAEC" w:sz="1"/>
              <w:right w:val="single" w:color="DFDAEC" w:sz="1"/>
            </w:tcBorders>
            <w:shd w:fill="F6F4FA" w:color="auto" w:val="clear"/>
            <w:tcMar>
              <w:top w:type="dxa" w:w="90"/>
              <w:left w:type="dxa" w:w="130"/>
              <w:bottom w:type="dxa" w:w="90"/>
              <w:right w:type="dxa" w:w="130"/>
            </w:tcMar>
            <w:vAlign w:val="center"/>
          </w:tcPr>
          <w:p>
            <w:pPr>
              <w:spacing w:after="0" w:before="0" w:line="250"/>
            </w:pPr>
            <w:r>
              <w:rPr>
                <w:rFonts w:ascii="Arial" w:cs="Arial" w:eastAsia="Arial" w:hAnsi="Arial"/>
                <w:b w:val="false"/>
                <w:bCs w:val="false"/>
                <w:i w:val="false"/>
                <w:iCs w:val="false"/>
                <w:color w:val="1F2430"/>
                <w:sz w:val="18"/>
                <w:szCs w:val="18"/>
              </w:rPr>
              <w:t xml:space="preserve">v1  |  July 27, 2026</w:t>
            </w:r>
          </w:p>
        </w:tc>
      </w:tr>
      <w:tr>
        <w:trPr>
          <w:cantSplit/>
        </w:trPr>
        <w:tc>
          <w:tcPr>
            <w:tcW w:type="dxa" w:w="2500"/>
            <w:tcBorders>
              <w:top w:val="single" w:color="DFDAEC" w:sz="1"/>
              <w:left w:val="single" w:color="DFDAEC" w:sz="1"/>
              <w:bottom w:val="single" w:color="DFDAEC" w:sz="1"/>
              <w:right w:val="single" w:color="DFDAEC" w:sz="1"/>
            </w:tcBorders>
            <w:shd w:fill="FFFFFF" w:color="auto" w:val="clear"/>
            <w:tcMar>
              <w:top w:type="dxa" w:w="90"/>
              <w:left w:type="dxa" w:w="130"/>
              <w:bottom w:type="dxa" w:w="90"/>
              <w:right w:type="dxa" w:w="130"/>
            </w:tcMar>
            <w:vAlign w:val="center"/>
          </w:tcPr>
          <w:p>
            <w:pPr>
              <w:spacing w:after="0" w:before="0" w:line="250"/>
            </w:pPr>
            <w:r>
              <w:rPr>
                <w:rFonts w:ascii="Arial" w:cs="Arial" w:eastAsia="Arial" w:hAnsi="Arial"/>
                <w:b/>
                <w:bCs/>
                <w:i w:val="false"/>
                <w:iCs w:val="false"/>
                <w:color w:val="1F2430"/>
                <w:sz w:val="18"/>
                <w:szCs w:val="18"/>
              </w:rPr>
              <w:t xml:space="preserve">Status</w:t>
            </w:r>
          </w:p>
        </w:tc>
        <w:tc>
          <w:tcPr>
            <w:tcW w:type="dxa" w:w="7580"/>
            <w:tcBorders>
              <w:top w:val="single" w:color="DFDAEC" w:sz="1"/>
              <w:left w:val="single" w:color="DFDAEC" w:sz="1"/>
              <w:bottom w:val="single" w:color="DFDAEC" w:sz="1"/>
              <w:right w:val="single" w:color="DFDAEC" w:sz="1"/>
            </w:tcBorders>
            <w:shd w:fill="FFFFFF" w:color="auto" w:val="clear"/>
            <w:tcMar>
              <w:top w:type="dxa" w:w="90"/>
              <w:left w:type="dxa" w:w="130"/>
              <w:bottom w:type="dxa" w:w="90"/>
              <w:right w:type="dxa" w:w="130"/>
            </w:tcMar>
            <w:vAlign w:val="center"/>
          </w:tcPr>
          <w:p>
            <w:pPr>
              <w:spacing w:after="0" w:before="0" w:line="250"/>
            </w:pPr>
            <w:r>
              <w:rPr>
                <w:rFonts w:ascii="Arial" w:cs="Arial" w:eastAsia="Arial" w:hAnsi="Arial"/>
                <w:b/>
                <w:bCs/>
                <w:i w:val="false"/>
                <w:iCs w:val="false"/>
                <w:color w:val="8A6100"/>
                <w:sz w:val="18"/>
                <w:szCs w:val="18"/>
              </w:rPr>
              <w:t xml:space="preserve">DRAFT, internal review, not for release to a facility until reviewed by counsel</w:t>
            </w:r>
          </w:p>
        </w:tc>
      </w:tr>
      <w:tr>
        <w:trPr>
          <w:cantSplit/>
        </w:trPr>
        <w:tc>
          <w:tcPr>
            <w:tcW w:type="dxa" w:w="2500"/>
            <w:tcBorders>
              <w:top w:val="single" w:color="DFDAEC" w:sz="1"/>
              <w:left w:val="single" w:color="DFDAEC" w:sz="1"/>
              <w:bottom w:val="single" w:color="DFDAEC" w:sz="1"/>
              <w:right w:val="single" w:color="DFDAEC" w:sz="1"/>
            </w:tcBorders>
            <w:shd w:fill="F6F4FA" w:color="auto" w:val="clear"/>
            <w:tcMar>
              <w:top w:type="dxa" w:w="90"/>
              <w:left w:type="dxa" w:w="130"/>
              <w:bottom w:type="dxa" w:w="90"/>
              <w:right w:type="dxa" w:w="130"/>
            </w:tcMar>
            <w:vAlign w:val="center"/>
          </w:tcPr>
          <w:p>
            <w:pPr>
              <w:spacing w:after="0" w:before="0" w:line="250"/>
            </w:pPr>
            <w:r>
              <w:rPr>
                <w:rFonts w:ascii="Arial" w:cs="Arial" w:eastAsia="Arial" w:hAnsi="Arial"/>
                <w:b/>
                <w:bCs/>
                <w:i w:val="false"/>
                <w:iCs w:val="false"/>
                <w:color w:val="1F2430"/>
                <w:sz w:val="18"/>
                <w:szCs w:val="18"/>
              </w:rPr>
              <w:t xml:space="preserve">Prepared by</w:t>
            </w:r>
          </w:p>
        </w:tc>
        <w:tc>
          <w:tcPr>
            <w:tcW w:type="dxa" w:w="7580"/>
            <w:tcBorders>
              <w:top w:val="single" w:color="DFDAEC" w:sz="1"/>
              <w:left w:val="single" w:color="DFDAEC" w:sz="1"/>
              <w:bottom w:val="single" w:color="DFDAEC" w:sz="1"/>
              <w:right w:val="single" w:color="DFDAEC" w:sz="1"/>
            </w:tcBorders>
            <w:shd w:fill="F6F4FA" w:color="auto" w:val="clear"/>
            <w:tcMar>
              <w:top w:type="dxa" w:w="90"/>
              <w:left w:type="dxa" w:w="130"/>
              <w:bottom w:type="dxa" w:w="90"/>
              <w:right w:type="dxa" w:w="130"/>
            </w:tcMar>
            <w:vAlign w:val="center"/>
          </w:tcPr>
          <w:p>
            <w:pPr>
              <w:spacing w:after="0" w:before="0" w:line="250"/>
            </w:pPr>
            <w:r>
              <w:rPr>
                <w:rFonts w:ascii="Arial" w:cs="Arial" w:eastAsia="Arial" w:hAnsi="Arial"/>
                <w:b w:val="false"/>
                <w:bCs w:val="false"/>
                <w:i w:val="false"/>
                <w:iCs w:val="false"/>
                <w:color w:val="1F2430"/>
                <w:sz w:val="18"/>
                <w:szCs w:val="18"/>
              </w:rPr>
              <w:t xml:space="preserve">Paul Hellman, LNHA, CEO, CareTech Group, LLC</w:t>
            </w:r>
          </w:p>
        </w:tc>
      </w:tr>
      <w:tr>
        <w:trPr>
          <w:cantSplit/>
        </w:trPr>
        <w:tc>
          <w:tcPr>
            <w:tcW w:type="dxa" w:w="2500"/>
            <w:tcBorders>
              <w:top w:val="single" w:color="DFDAEC" w:sz="1"/>
              <w:left w:val="single" w:color="DFDAEC" w:sz="1"/>
              <w:bottom w:val="single" w:color="DFDAEC" w:sz="1"/>
              <w:right w:val="single" w:color="DFDAEC" w:sz="1"/>
            </w:tcBorders>
            <w:shd w:fill="FFFFFF" w:color="auto" w:val="clear"/>
            <w:tcMar>
              <w:top w:type="dxa" w:w="90"/>
              <w:left w:type="dxa" w:w="130"/>
              <w:bottom w:type="dxa" w:w="90"/>
              <w:right w:type="dxa" w:w="130"/>
            </w:tcMar>
            <w:vAlign w:val="center"/>
          </w:tcPr>
          <w:p>
            <w:pPr>
              <w:spacing w:after="0" w:before="0" w:line="250"/>
            </w:pPr>
            <w:r>
              <w:rPr>
                <w:rFonts w:ascii="Arial" w:cs="Arial" w:eastAsia="Arial" w:hAnsi="Arial"/>
                <w:b/>
                <w:bCs/>
                <w:i w:val="false"/>
                <w:iCs w:val="false"/>
                <w:color w:val="1F2430"/>
                <w:sz w:val="18"/>
                <w:szCs w:val="18"/>
              </w:rPr>
              <w:t xml:space="preserve">Intended facilities</w:t>
            </w:r>
          </w:p>
        </w:tc>
        <w:tc>
          <w:tcPr>
            <w:tcW w:type="dxa" w:w="7580"/>
            <w:tcBorders>
              <w:top w:val="single" w:color="DFDAEC" w:sz="1"/>
              <w:left w:val="single" w:color="DFDAEC" w:sz="1"/>
              <w:bottom w:val="single" w:color="DFDAEC" w:sz="1"/>
              <w:right w:val="single" w:color="DFDAEC" w:sz="1"/>
            </w:tcBorders>
            <w:shd w:fill="FFFFFF" w:color="auto" w:val="clear"/>
            <w:tcMar>
              <w:top w:type="dxa" w:w="90"/>
              <w:left w:type="dxa" w:w="130"/>
              <w:bottom w:type="dxa" w:w="90"/>
              <w:right w:type="dxa" w:w="130"/>
            </w:tcMar>
            <w:vAlign w:val="center"/>
          </w:tcPr>
          <w:p>
            <w:pPr>
              <w:spacing w:after="0" w:before="0" w:line="250"/>
            </w:pPr>
            <w:r>
              <w:rPr>
                <w:rFonts w:ascii="Arial" w:cs="Arial" w:eastAsia="Arial" w:hAnsi="Arial"/>
                <w:b w:val="false"/>
                <w:bCs w:val="false"/>
                <w:i w:val="false"/>
                <w:iCs w:val="false"/>
                <w:color w:val="1F2430"/>
                <w:sz w:val="18"/>
                <w:szCs w:val="18"/>
              </w:rPr>
              <w:t xml:space="preserve">Rebekah Rehabilitation and Extended Care Center (CCN 335557); Highland Care Center (CCN 335505)</w:t>
            </w:r>
          </w:p>
        </w:tc>
      </w:tr>
      <w:tr>
        <w:trPr>
          <w:cantSplit/>
        </w:trPr>
        <w:tc>
          <w:tcPr>
            <w:tcW w:type="dxa" w:w="2500"/>
            <w:tcBorders>
              <w:top w:val="single" w:color="DFDAEC" w:sz="1"/>
              <w:left w:val="single" w:color="DFDAEC" w:sz="1"/>
              <w:bottom w:val="single" w:color="DFDAEC" w:sz="1"/>
              <w:right w:val="single" w:color="DFDAEC" w:sz="1"/>
            </w:tcBorders>
            <w:shd w:fill="F6F4FA" w:color="auto" w:val="clear"/>
            <w:tcMar>
              <w:top w:type="dxa" w:w="90"/>
              <w:left w:type="dxa" w:w="130"/>
              <w:bottom w:type="dxa" w:w="90"/>
              <w:right w:type="dxa" w:w="130"/>
            </w:tcMar>
            <w:vAlign w:val="center"/>
          </w:tcPr>
          <w:p>
            <w:pPr>
              <w:spacing w:after="0" w:before="0" w:line="250"/>
            </w:pPr>
            <w:r>
              <w:rPr>
                <w:rFonts w:ascii="Arial" w:cs="Arial" w:eastAsia="Arial" w:hAnsi="Arial"/>
                <w:b/>
                <w:bCs/>
                <w:i w:val="false"/>
                <w:iCs w:val="false"/>
                <w:color w:val="1F2430"/>
                <w:sz w:val="18"/>
                <w:szCs w:val="18"/>
              </w:rPr>
              <w:t xml:space="preserve">Companion documents</w:t>
            </w:r>
          </w:p>
        </w:tc>
        <w:tc>
          <w:tcPr>
            <w:tcW w:type="dxa" w:w="7580"/>
            <w:tcBorders>
              <w:top w:val="single" w:color="DFDAEC" w:sz="1"/>
              <w:left w:val="single" w:color="DFDAEC" w:sz="1"/>
              <w:bottom w:val="single" w:color="DFDAEC" w:sz="1"/>
              <w:right w:val="single" w:color="DFDAEC" w:sz="1"/>
            </w:tcBorders>
            <w:shd w:fill="F6F4FA" w:color="auto" w:val="clear"/>
            <w:tcMar>
              <w:top w:type="dxa" w:w="90"/>
              <w:left w:type="dxa" w:w="130"/>
              <w:bottom w:type="dxa" w:w="90"/>
              <w:right w:type="dxa" w:w="130"/>
            </w:tcMar>
            <w:vAlign w:val="center"/>
          </w:tcPr>
          <w:p>
            <w:pPr>
              <w:spacing w:after="0" w:before="0" w:line="250"/>
            </w:pPr>
            <w:r>
              <w:rPr>
                <w:rFonts w:ascii="Arial" w:cs="Arial" w:eastAsia="Arial" w:hAnsi="Arial"/>
                <w:b w:val="false"/>
                <w:bCs w:val="false"/>
                <w:i w:val="false"/>
                <w:iCs w:val="false"/>
                <w:color w:val="1F2430"/>
                <w:sz w:val="18"/>
                <w:szCs w:val="18"/>
              </w:rPr>
              <w:t xml:space="preserve">HIPAA Business Associate Agreement; Data Transfer Authorization; Resident and Responsible Party Consent</w:t>
            </w:r>
          </w:p>
        </w:tc>
      </w:tr>
    </w:tbl>
    <w:p>
      <w:pPr>
        <w:keepNext/>
        <w:spacing w:after="0" w:before="0" w:line="160"/>
      </w:pPr>
      <w:r>
        <w:rPr>
          <w:rFonts w:ascii="Arial" w:cs="Arial" w:eastAsia="Arial" w:hAnsi="Arial"/>
          <w:sz w:val="2"/>
          <w:szCs w:val="2"/>
        </w:rPr>
        <w:t xml:space="preserve"/>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rPr>
          <w:cantSplit/>
        </w:trPr>
        <w:tc>
          <w:tcPr>
            <w:tcW w:type="dxa" w:w="10080"/>
            <w:tcBorders>
              <w:top w:val="single" w:color="6B4C9A" w:sz="2"/>
              <w:left w:val="single" w:color="6B4C9A" w:sz="18"/>
              <w:bottom w:val="single" w:color="6B4C9A" w:sz="2"/>
              <w:right w:val="single" w:color="6B4C9A" w:sz="2"/>
            </w:tcBorders>
            <w:shd w:fill="F6F4FA" w:color="auto" w:val="clear"/>
            <w:tcMar>
              <w:top w:type="dxa" w:w="140"/>
              <w:left w:type="dxa" w:w="170"/>
              <w:bottom w:type="dxa" w:w="140"/>
              <w:right w:type="dxa" w:w="170"/>
            </w:tcMar>
          </w:tcPr>
          <w:p>
            <w:pPr>
              <w:keepNext/>
              <w:spacing w:after="60" w:before="0"/>
            </w:pPr>
            <w:r>
              <w:rPr>
                <w:rFonts w:ascii="Arial" w:cs="Arial" w:eastAsia="Arial" w:hAnsi="Arial"/>
                <w:b/>
                <w:bCs/>
                <w:color w:val="6B4C9A"/>
                <w:sz w:val="19"/>
                <w:szCs w:val="19"/>
              </w:rPr>
              <w:t xml:space="preserve">How to read this document</w:t>
            </w:r>
          </w:p>
          <w:p>
            <w:pPr>
              <w:spacing w:after="0" w:before="0" w:line="264"/>
            </w:pPr>
            <w:r>
              <w:rPr>
                <w:rFonts w:ascii="Arial" w:cs="Arial" w:eastAsia="Arial" w:hAnsi="Arial"/>
                <w:color w:val="1F2430"/>
                <w:sz w:val="18"/>
                <w:szCs w:val="18"/>
              </w:rPr>
              <w:t xml:space="preserve">This Agreement governs participation in the pilot only. It creates no purchase obligation, no automatic renewal, and no fee to the facility. Facility specific details, meaning the unit, the scope, the named contacts, and the indicative subscription rate, are set out in Schedule A and are completed separately for each facility.</w:t>
            </w:r>
          </w:p>
        </w:tc>
      </w:tr>
    </w:tbl>
    <w:p>
      <w:pPr>
        <w:keepNext/>
        <w:pBdr>
          <w:bottom w:val="single" w:color="DFDAEC" w:sz="6" w:space="4"/>
        </w:pBdr>
        <w:spacing w:after="100" w:before="260"/>
      </w:pPr>
      <w:r>
        <w:rPr>
          <w:rFonts w:ascii="Arial" w:cs="Arial" w:eastAsia="Arial" w:hAnsi="Arial"/>
          <w:b/>
          <w:bCs/>
          <w:color w:val="6B4C9A"/>
          <w:sz w:val="23"/>
          <w:szCs w:val="23"/>
        </w:rPr>
        <w:t xml:space="preserve">Article 1.  Parties and Effective Date</w:t>
      </w:r>
    </w:p>
    <w:p>
      <w:pPr>
        <w:keepNext/>
        <w:spacing w:after="90" w:before="0" w:line="268"/>
      </w:pPr>
      <w:r>
        <w:rPr>
          <w:rFonts w:ascii="Arial" w:cs="Arial" w:eastAsia="Arial" w:hAnsi="Arial"/>
          <w:b w:val="false"/>
          <w:bCs w:val="false"/>
          <w:i w:val="false"/>
          <w:iCs w:val="false"/>
          <w:color w:val="1F2430"/>
          <w:sz w:val="19"/>
          <w:szCs w:val="19"/>
        </w:rPr>
        <w:t xml:space="preserve">This SafeLinQ Pilot Participation Agreement, the Agreement, is entered into by and between CareTech Group, LLC, a New York limited liability company, CareTech, and the facility identified below, the Facility. Each is a Party and together they are the Parties.</w:t>
      </w:r>
    </w:p>
    <w:p>
      <w:pPr>
        <w:keepNext/>
        <w:spacing w:after="0" w:before="0" w:line="120"/>
      </w:pPr>
      <w:r>
        <w:rPr>
          <w:rFonts w:ascii="Arial" w:cs="Arial" w:eastAsia="Arial" w:hAnsi="Arial"/>
          <w:sz w:val="2"/>
          <w:szCs w:val="2"/>
        </w:rPr>
        <w:t xml:space="preserve"/>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300"/>
        <w:gridCol w:w="6780"/>
      </w:tblGrid>
      <w:tr>
        <w:trPr>
          <w:cantSplit/>
        </w:trPr>
        <w:tc>
          <w:tcPr>
            <w:tcW w:type="dxa" w:w="3300"/>
            <w:tcBorders>
              <w:top w:val="single" w:color="DFDAEC" w:sz="1"/>
              <w:left w:val="single" w:color="DFDAEC" w:sz="1"/>
              <w:bottom w:val="single" w:color="DFDAEC" w:sz="1"/>
              <w:right w:val="single" w:color="DFDAEC" w:sz="1"/>
            </w:tcBorders>
            <w:shd w:fill="F6F4FA" w:color="auto" w:val="clear"/>
            <w:tcMar>
              <w:top w:type="dxa" w:w="90"/>
              <w:left w:type="dxa" w:w="130"/>
              <w:bottom w:type="dxa" w:w="90"/>
              <w:right w:type="dxa" w:w="130"/>
            </w:tcMar>
            <w:vAlign w:val="center"/>
          </w:tcPr>
          <w:p>
            <w:pPr>
              <w:spacing w:after="0" w:before="0" w:line="250"/>
            </w:pPr>
            <w:r>
              <w:rPr>
                <w:rFonts w:ascii="Arial" w:cs="Arial" w:eastAsia="Arial" w:hAnsi="Arial"/>
                <w:b/>
                <w:bCs/>
                <w:i w:val="false"/>
                <w:iCs w:val="false"/>
                <w:color w:val="1F2430"/>
                <w:sz w:val="18"/>
                <w:szCs w:val="18"/>
              </w:rPr>
              <w:t xml:space="preserve">Facility legal name</w:t>
            </w:r>
          </w:p>
        </w:tc>
        <w:tc>
          <w:tcPr>
            <w:tcW w:type="dxa" w:w="6780"/>
            <w:tcBorders>
              <w:top w:val="single" w:color="DFDAEC" w:sz="1"/>
              <w:left w:val="single" w:color="DFDAEC" w:sz="1"/>
              <w:bottom w:val="single" w:color="DFDAEC" w:sz="1"/>
              <w:right w:val="single" w:color="DFDAEC" w:sz="1"/>
            </w:tcBorders>
            <w:shd w:fill="FFFFFF" w:color="auto" w:val="clear"/>
            <w:tcMar>
              <w:top w:type="dxa" w:w="90"/>
              <w:left w:type="dxa" w:w="130"/>
              <w:bottom w:type="dxa" w:w="90"/>
              <w:right w:type="dxa" w:w="130"/>
            </w:tcMar>
            <w:vAlign w:val="center"/>
          </w:tcPr>
          <w:p>
            <w:pPr>
              <w:spacing w:after="0" w:before="0" w:line="250"/>
            </w:pPr>
            <w:r>
              <w:rPr>
                <w:rFonts w:ascii="Arial" w:cs="Arial" w:eastAsia="Arial" w:hAnsi="Arial"/>
                <w:b w:val="false"/>
                <w:bCs w:val="false"/>
                <w:i w:val="false"/>
                <w:iCs w:val="false"/>
                <w:color w:val="5C6270"/>
                <w:sz w:val="18"/>
                <w:szCs w:val="18"/>
              </w:rPr>
              <w:t xml:space="preserve"/>
            </w:r>
          </w:p>
        </w:tc>
      </w:tr>
      <w:tr>
        <w:trPr>
          <w:cantSplit/>
        </w:trPr>
        <w:tc>
          <w:tcPr>
            <w:tcW w:type="dxa" w:w="3300"/>
            <w:tcBorders>
              <w:top w:val="single" w:color="DFDAEC" w:sz="1"/>
              <w:left w:val="single" w:color="DFDAEC" w:sz="1"/>
              <w:bottom w:val="single" w:color="DFDAEC" w:sz="1"/>
              <w:right w:val="single" w:color="DFDAEC" w:sz="1"/>
            </w:tcBorders>
            <w:shd w:fill="F6F4FA" w:color="auto" w:val="clear"/>
            <w:tcMar>
              <w:top w:type="dxa" w:w="90"/>
              <w:left w:type="dxa" w:w="130"/>
              <w:bottom w:type="dxa" w:w="90"/>
              <w:right w:type="dxa" w:w="130"/>
            </w:tcMar>
            <w:vAlign w:val="center"/>
          </w:tcPr>
          <w:p>
            <w:pPr>
              <w:spacing w:after="0" w:before="0" w:line="250"/>
            </w:pPr>
            <w:r>
              <w:rPr>
                <w:rFonts w:ascii="Arial" w:cs="Arial" w:eastAsia="Arial" w:hAnsi="Arial"/>
                <w:b/>
                <w:bCs/>
                <w:i w:val="false"/>
                <w:iCs w:val="false"/>
                <w:color w:val="1F2430"/>
                <w:sz w:val="18"/>
                <w:szCs w:val="18"/>
              </w:rPr>
              <w:t xml:space="preserve">CMS Certification Number (CCN)</w:t>
            </w:r>
          </w:p>
        </w:tc>
        <w:tc>
          <w:tcPr>
            <w:tcW w:type="dxa" w:w="6780"/>
            <w:tcBorders>
              <w:top w:val="single" w:color="DFDAEC" w:sz="1"/>
              <w:left w:val="single" w:color="DFDAEC" w:sz="1"/>
              <w:bottom w:val="single" w:color="DFDAEC" w:sz="1"/>
              <w:right w:val="single" w:color="DFDAEC" w:sz="1"/>
            </w:tcBorders>
            <w:shd w:fill="FFFFFF" w:color="auto" w:val="clear"/>
            <w:tcMar>
              <w:top w:type="dxa" w:w="90"/>
              <w:left w:type="dxa" w:w="130"/>
              <w:bottom w:type="dxa" w:w="90"/>
              <w:right w:type="dxa" w:w="130"/>
            </w:tcMar>
            <w:vAlign w:val="center"/>
          </w:tcPr>
          <w:p>
            <w:pPr>
              <w:spacing w:after="0" w:before="0" w:line="250"/>
            </w:pPr>
            <w:r>
              <w:rPr>
                <w:rFonts w:ascii="Arial" w:cs="Arial" w:eastAsia="Arial" w:hAnsi="Arial"/>
                <w:b w:val="false"/>
                <w:bCs w:val="false"/>
                <w:i w:val="false"/>
                <w:iCs w:val="false"/>
                <w:color w:val="5C6270"/>
                <w:sz w:val="18"/>
                <w:szCs w:val="18"/>
              </w:rPr>
              <w:t xml:space="preserve"/>
            </w:r>
          </w:p>
        </w:tc>
      </w:tr>
      <w:tr>
        <w:trPr>
          <w:cantSplit/>
        </w:trPr>
        <w:tc>
          <w:tcPr>
            <w:tcW w:type="dxa" w:w="3300"/>
            <w:tcBorders>
              <w:top w:val="single" w:color="DFDAEC" w:sz="1"/>
              <w:left w:val="single" w:color="DFDAEC" w:sz="1"/>
              <w:bottom w:val="single" w:color="DFDAEC" w:sz="1"/>
              <w:right w:val="single" w:color="DFDAEC" w:sz="1"/>
            </w:tcBorders>
            <w:shd w:fill="F6F4FA" w:color="auto" w:val="clear"/>
            <w:tcMar>
              <w:top w:type="dxa" w:w="90"/>
              <w:left w:type="dxa" w:w="130"/>
              <w:bottom w:type="dxa" w:w="90"/>
              <w:right w:type="dxa" w:w="130"/>
            </w:tcMar>
            <w:vAlign w:val="center"/>
          </w:tcPr>
          <w:p>
            <w:pPr>
              <w:spacing w:after="0" w:before="0" w:line="250"/>
            </w:pPr>
            <w:r>
              <w:rPr>
                <w:rFonts w:ascii="Arial" w:cs="Arial" w:eastAsia="Arial" w:hAnsi="Arial"/>
                <w:b/>
                <w:bCs/>
                <w:i w:val="false"/>
                <w:iCs w:val="false"/>
                <w:color w:val="1F2430"/>
                <w:sz w:val="18"/>
                <w:szCs w:val="18"/>
              </w:rPr>
              <w:t xml:space="preserve">Facility address</w:t>
            </w:r>
          </w:p>
        </w:tc>
        <w:tc>
          <w:tcPr>
            <w:tcW w:type="dxa" w:w="6780"/>
            <w:tcBorders>
              <w:top w:val="single" w:color="DFDAEC" w:sz="1"/>
              <w:left w:val="single" w:color="DFDAEC" w:sz="1"/>
              <w:bottom w:val="single" w:color="DFDAEC" w:sz="1"/>
              <w:right w:val="single" w:color="DFDAEC" w:sz="1"/>
            </w:tcBorders>
            <w:shd w:fill="FFFFFF" w:color="auto" w:val="clear"/>
            <w:tcMar>
              <w:top w:type="dxa" w:w="90"/>
              <w:left w:type="dxa" w:w="130"/>
              <w:bottom w:type="dxa" w:w="90"/>
              <w:right w:type="dxa" w:w="130"/>
            </w:tcMar>
            <w:vAlign w:val="center"/>
          </w:tcPr>
          <w:p>
            <w:pPr>
              <w:spacing w:after="0" w:before="0" w:line="250"/>
            </w:pPr>
            <w:r>
              <w:rPr>
                <w:rFonts w:ascii="Arial" w:cs="Arial" w:eastAsia="Arial" w:hAnsi="Arial"/>
                <w:b w:val="false"/>
                <w:bCs w:val="false"/>
                <w:i w:val="false"/>
                <w:iCs w:val="false"/>
                <w:color w:val="5C6270"/>
                <w:sz w:val="18"/>
                <w:szCs w:val="18"/>
              </w:rPr>
              <w:t xml:space="preserve"/>
            </w:r>
          </w:p>
        </w:tc>
      </w:tr>
      <w:tr>
        <w:trPr>
          <w:cantSplit/>
        </w:trPr>
        <w:tc>
          <w:tcPr>
            <w:tcW w:type="dxa" w:w="3300"/>
            <w:tcBorders>
              <w:top w:val="single" w:color="DFDAEC" w:sz="1"/>
              <w:left w:val="single" w:color="DFDAEC" w:sz="1"/>
              <w:bottom w:val="single" w:color="DFDAEC" w:sz="1"/>
              <w:right w:val="single" w:color="DFDAEC" w:sz="1"/>
            </w:tcBorders>
            <w:shd w:fill="F6F4FA" w:color="auto" w:val="clear"/>
            <w:tcMar>
              <w:top w:type="dxa" w:w="90"/>
              <w:left w:type="dxa" w:w="130"/>
              <w:bottom w:type="dxa" w:w="90"/>
              <w:right w:type="dxa" w:w="130"/>
            </w:tcMar>
            <w:vAlign w:val="center"/>
          </w:tcPr>
          <w:p>
            <w:pPr>
              <w:spacing w:after="0" w:before="0" w:line="250"/>
            </w:pPr>
            <w:r>
              <w:rPr>
                <w:rFonts w:ascii="Arial" w:cs="Arial" w:eastAsia="Arial" w:hAnsi="Arial"/>
                <w:b/>
                <w:bCs/>
                <w:i w:val="false"/>
                <w:iCs w:val="false"/>
                <w:color w:val="1F2430"/>
                <w:sz w:val="18"/>
                <w:szCs w:val="18"/>
              </w:rPr>
              <w:t xml:space="preserve">Authorized representative</w:t>
            </w:r>
          </w:p>
        </w:tc>
        <w:tc>
          <w:tcPr>
            <w:tcW w:type="dxa" w:w="6780"/>
            <w:tcBorders>
              <w:top w:val="single" w:color="DFDAEC" w:sz="1"/>
              <w:left w:val="single" w:color="DFDAEC" w:sz="1"/>
              <w:bottom w:val="single" w:color="DFDAEC" w:sz="1"/>
              <w:right w:val="single" w:color="DFDAEC" w:sz="1"/>
            </w:tcBorders>
            <w:shd w:fill="FFFFFF" w:color="auto" w:val="clear"/>
            <w:tcMar>
              <w:top w:type="dxa" w:w="90"/>
              <w:left w:type="dxa" w:w="130"/>
              <w:bottom w:type="dxa" w:w="90"/>
              <w:right w:type="dxa" w:w="130"/>
            </w:tcMar>
            <w:vAlign w:val="center"/>
          </w:tcPr>
          <w:p>
            <w:pPr>
              <w:spacing w:after="0" w:before="0" w:line="250"/>
            </w:pPr>
            <w:r>
              <w:rPr>
                <w:rFonts w:ascii="Arial" w:cs="Arial" w:eastAsia="Arial" w:hAnsi="Arial"/>
                <w:b w:val="false"/>
                <w:bCs w:val="false"/>
                <w:i w:val="false"/>
                <w:iCs w:val="false"/>
                <w:color w:val="5C6270"/>
                <w:sz w:val="18"/>
                <w:szCs w:val="18"/>
              </w:rPr>
              <w:t xml:space="preserve"/>
            </w:r>
          </w:p>
        </w:tc>
      </w:tr>
      <w:tr>
        <w:trPr>
          <w:cantSplit/>
        </w:trPr>
        <w:tc>
          <w:tcPr>
            <w:tcW w:type="dxa" w:w="3300"/>
            <w:tcBorders>
              <w:top w:val="single" w:color="DFDAEC" w:sz="1"/>
              <w:left w:val="single" w:color="DFDAEC" w:sz="1"/>
              <w:bottom w:val="single" w:color="DFDAEC" w:sz="1"/>
              <w:right w:val="single" w:color="DFDAEC" w:sz="1"/>
            </w:tcBorders>
            <w:shd w:fill="F6F4FA" w:color="auto" w:val="clear"/>
            <w:tcMar>
              <w:top w:type="dxa" w:w="90"/>
              <w:left w:type="dxa" w:w="130"/>
              <w:bottom w:type="dxa" w:w="90"/>
              <w:right w:type="dxa" w:w="130"/>
            </w:tcMar>
            <w:vAlign w:val="center"/>
          </w:tcPr>
          <w:p>
            <w:pPr>
              <w:spacing w:after="0" w:before="0" w:line="250"/>
            </w:pPr>
            <w:r>
              <w:rPr>
                <w:rFonts w:ascii="Arial" w:cs="Arial" w:eastAsia="Arial" w:hAnsi="Arial"/>
                <w:b/>
                <w:bCs/>
                <w:i w:val="false"/>
                <w:iCs w:val="false"/>
                <w:color w:val="1F2430"/>
                <w:sz w:val="18"/>
                <w:szCs w:val="18"/>
              </w:rPr>
              <w:t xml:space="preserve">Title</w:t>
            </w:r>
          </w:p>
        </w:tc>
        <w:tc>
          <w:tcPr>
            <w:tcW w:type="dxa" w:w="6780"/>
            <w:tcBorders>
              <w:top w:val="single" w:color="DFDAEC" w:sz="1"/>
              <w:left w:val="single" w:color="DFDAEC" w:sz="1"/>
              <w:bottom w:val="single" w:color="DFDAEC" w:sz="1"/>
              <w:right w:val="single" w:color="DFDAEC" w:sz="1"/>
            </w:tcBorders>
            <w:shd w:fill="FFFFFF" w:color="auto" w:val="clear"/>
            <w:tcMar>
              <w:top w:type="dxa" w:w="90"/>
              <w:left w:type="dxa" w:w="130"/>
              <w:bottom w:type="dxa" w:w="90"/>
              <w:right w:type="dxa" w:w="130"/>
            </w:tcMar>
            <w:vAlign w:val="center"/>
          </w:tcPr>
          <w:p>
            <w:pPr>
              <w:spacing w:after="0" w:before="0" w:line="250"/>
            </w:pPr>
            <w:r>
              <w:rPr>
                <w:rFonts w:ascii="Arial" w:cs="Arial" w:eastAsia="Arial" w:hAnsi="Arial"/>
                <w:b w:val="false"/>
                <w:bCs w:val="false"/>
                <w:i w:val="false"/>
                <w:iCs w:val="false"/>
                <w:color w:val="5C6270"/>
                <w:sz w:val="18"/>
                <w:szCs w:val="18"/>
              </w:rPr>
              <w:t xml:space="preserve"/>
            </w:r>
          </w:p>
        </w:tc>
      </w:tr>
      <w:tr>
        <w:trPr>
          <w:cantSplit/>
        </w:trPr>
        <w:tc>
          <w:tcPr>
            <w:tcW w:type="dxa" w:w="3300"/>
            <w:tcBorders>
              <w:top w:val="single" w:color="DFDAEC" w:sz="1"/>
              <w:left w:val="single" w:color="DFDAEC" w:sz="1"/>
              <w:bottom w:val="single" w:color="DFDAEC" w:sz="1"/>
              <w:right w:val="single" w:color="DFDAEC" w:sz="1"/>
            </w:tcBorders>
            <w:shd w:fill="F6F4FA" w:color="auto" w:val="clear"/>
            <w:tcMar>
              <w:top w:type="dxa" w:w="90"/>
              <w:left w:type="dxa" w:w="130"/>
              <w:bottom w:type="dxa" w:w="90"/>
              <w:right w:type="dxa" w:w="130"/>
            </w:tcMar>
            <w:vAlign w:val="center"/>
          </w:tcPr>
          <w:p>
            <w:pPr>
              <w:spacing w:after="0" w:before="0" w:line="250"/>
            </w:pPr>
            <w:r>
              <w:rPr>
                <w:rFonts w:ascii="Arial" w:cs="Arial" w:eastAsia="Arial" w:hAnsi="Arial"/>
                <w:b/>
                <w:bCs/>
                <w:i w:val="false"/>
                <w:iCs w:val="false"/>
                <w:color w:val="1F2430"/>
                <w:sz w:val="18"/>
                <w:szCs w:val="18"/>
              </w:rPr>
              <w:t xml:space="preserve">Email and telephone</w:t>
            </w:r>
          </w:p>
        </w:tc>
        <w:tc>
          <w:tcPr>
            <w:tcW w:type="dxa" w:w="6780"/>
            <w:tcBorders>
              <w:top w:val="single" w:color="DFDAEC" w:sz="1"/>
              <w:left w:val="single" w:color="DFDAEC" w:sz="1"/>
              <w:bottom w:val="single" w:color="DFDAEC" w:sz="1"/>
              <w:right w:val="single" w:color="DFDAEC" w:sz="1"/>
            </w:tcBorders>
            <w:shd w:fill="FFFFFF" w:color="auto" w:val="clear"/>
            <w:tcMar>
              <w:top w:type="dxa" w:w="90"/>
              <w:left w:type="dxa" w:w="130"/>
              <w:bottom w:type="dxa" w:w="90"/>
              <w:right w:type="dxa" w:w="130"/>
            </w:tcMar>
            <w:vAlign w:val="center"/>
          </w:tcPr>
          <w:p>
            <w:pPr>
              <w:spacing w:after="0" w:before="0" w:line="250"/>
            </w:pPr>
            <w:r>
              <w:rPr>
                <w:rFonts w:ascii="Arial" w:cs="Arial" w:eastAsia="Arial" w:hAnsi="Arial"/>
                <w:b w:val="false"/>
                <w:bCs w:val="false"/>
                <w:i w:val="false"/>
                <w:iCs w:val="false"/>
                <w:color w:val="5C6270"/>
                <w:sz w:val="18"/>
                <w:szCs w:val="18"/>
              </w:rPr>
              <w:t xml:space="preserve"/>
            </w:r>
          </w:p>
        </w:tc>
      </w:tr>
      <w:tr>
        <w:trPr>
          <w:cantSplit/>
        </w:trPr>
        <w:tc>
          <w:tcPr>
            <w:tcW w:type="dxa" w:w="3300"/>
            <w:tcBorders>
              <w:top w:val="single" w:color="DFDAEC" w:sz="1"/>
              <w:left w:val="single" w:color="DFDAEC" w:sz="1"/>
              <w:bottom w:val="single" w:color="DFDAEC" w:sz="1"/>
              <w:right w:val="single" w:color="DFDAEC" w:sz="1"/>
            </w:tcBorders>
            <w:shd w:fill="F6F4FA" w:color="auto" w:val="clear"/>
            <w:tcMar>
              <w:top w:type="dxa" w:w="90"/>
              <w:left w:type="dxa" w:w="130"/>
              <w:bottom w:type="dxa" w:w="90"/>
              <w:right w:type="dxa" w:w="130"/>
            </w:tcMar>
            <w:vAlign w:val="center"/>
          </w:tcPr>
          <w:p>
            <w:pPr>
              <w:spacing w:after="0" w:before="0" w:line="250"/>
            </w:pPr>
            <w:r>
              <w:rPr>
                <w:rFonts w:ascii="Arial" w:cs="Arial" w:eastAsia="Arial" w:hAnsi="Arial"/>
                <w:b/>
                <w:bCs/>
                <w:i w:val="false"/>
                <w:iCs w:val="false"/>
                <w:color w:val="1F2430"/>
                <w:sz w:val="18"/>
                <w:szCs w:val="18"/>
              </w:rPr>
              <w:t xml:space="preserve">Effective Date</w:t>
            </w:r>
          </w:p>
        </w:tc>
        <w:tc>
          <w:tcPr>
            <w:tcW w:type="dxa" w:w="6780"/>
            <w:tcBorders>
              <w:top w:val="single" w:color="DFDAEC" w:sz="1"/>
              <w:left w:val="single" w:color="DFDAEC" w:sz="1"/>
              <w:bottom w:val="single" w:color="DFDAEC" w:sz="1"/>
              <w:right w:val="single" w:color="DFDAEC" w:sz="1"/>
            </w:tcBorders>
            <w:shd w:fill="FFFFFF" w:color="auto" w:val="clear"/>
            <w:tcMar>
              <w:top w:type="dxa" w:w="90"/>
              <w:left w:type="dxa" w:w="130"/>
              <w:bottom w:type="dxa" w:w="90"/>
              <w:right w:type="dxa" w:w="130"/>
            </w:tcMar>
            <w:vAlign w:val="center"/>
          </w:tcPr>
          <w:p>
            <w:pPr>
              <w:spacing w:after="0" w:before="0" w:line="250"/>
            </w:pPr>
            <w:r>
              <w:rPr>
                <w:rFonts w:ascii="Arial" w:cs="Arial" w:eastAsia="Arial" w:hAnsi="Arial"/>
                <w:b w:val="false"/>
                <w:bCs w:val="false"/>
                <w:i w:val="false"/>
                <w:iCs w:val="false"/>
                <w:color w:val="5C6270"/>
                <w:sz w:val="18"/>
                <w:szCs w:val="18"/>
              </w:rPr>
              <w:t xml:space="preserve"/>
            </w:r>
          </w:p>
        </w:tc>
      </w:tr>
    </w:tbl>
    <w:p>
      <w:pPr>
        <w:keepNext/>
        <w:pBdr>
          <w:bottom w:val="single" w:color="DFDAEC" w:sz="6" w:space="4"/>
        </w:pBdr>
        <w:spacing w:after="100" w:before="260"/>
      </w:pPr>
      <w:r>
        <w:rPr>
          <w:rFonts w:ascii="Arial" w:cs="Arial" w:eastAsia="Arial" w:hAnsi="Arial"/>
          <w:b/>
          <w:bCs/>
          <w:color w:val="6B4C9A"/>
          <w:sz w:val="23"/>
          <w:szCs w:val="23"/>
        </w:rPr>
        <w:t xml:space="preserve">Article 2.  Purpose</w:t>
      </w:r>
    </w:p>
    <w:p>
      <w:pPr>
        <w:keepNext w:val="false"/>
        <w:spacing w:after="100" w:before="0" w:line="268"/>
        <w:ind w:left="340" w:hanging="340"/>
      </w:pPr>
      <w:r>
        <w:rPr>
          <w:rFonts w:ascii="Arial" w:cs="Arial" w:eastAsia="Arial" w:hAnsi="Arial"/>
          <w:b/>
          <w:bCs/>
          <w:color w:val="6B4C9A"/>
          <w:sz w:val="19"/>
          <w:szCs w:val="19"/>
        </w:rPr>
        <w:t xml:space="preserve">2.1  </w:t>
      </w:r>
      <w:r>
        <w:rPr>
          <w:rFonts w:ascii="Arial" w:cs="Arial" w:eastAsia="Arial" w:hAnsi="Arial"/>
          <w:b/>
          <w:bCs/>
          <w:color w:val="1F2430"/>
          <w:sz w:val="19"/>
          <w:szCs w:val="19"/>
        </w:rPr>
        <w:t xml:space="preserve">Purpose. </w:t>
      </w:r>
      <w:r>
        <w:rPr>
          <w:rFonts w:ascii="Arial" w:cs="Arial" w:eastAsia="Arial" w:hAnsi="Arial"/>
          <w:color w:val="1F2430"/>
          <w:sz w:val="19"/>
          <w:szCs w:val="19"/>
        </w:rPr>
        <w:t xml:space="preserve">This Agreement governs the Facility's participation in a phased pilot program for SafeLinQ, a resident observation and documentation platform provided by CareTech.</w:t>
      </w:r>
    </w:p>
    <w:p>
      <w:pPr>
        <w:keepNext w:val="false"/>
        <w:spacing w:after="100" w:before="0" w:line="268"/>
        <w:ind w:left="340" w:hanging="340"/>
      </w:pPr>
      <w:r>
        <w:rPr>
          <w:rFonts w:ascii="Arial" w:cs="Arial" w:eastAsia="Arial" w:hAnsi="Arial"/>
          <w:b/>
          <w:bCs/>
          <w:color w:val="6B4C9A"/>
          <w:sz w:val="19"/>
          <w:szCs w:val="19"/>
        </w:rPr>
        <w:t xml:space="preserve">2.2  </w:t>
      </w:r>
      <w:r>
        <w:rPr>
          <w:rFonts w:ascii="Arial" w:cs="Arial" w:eastAsia="Arial" w:hAnsi="Arial"/>
          <w:b/>
          <w:bCs/>
          <w:color w:val="1F2430"/>
          <w:sz w:val="19"/>
          <w:szCs w:val="19"/>
        </w:rPr>
        <w:t xml:space="preserve">Intent. </w:t>
      </w:r>
      <w:r>
        <w:rPr>
          <w:rFonts w:ascii="Arial" w:cs="Arial" w:eastAsia="Arial" w:hAnsi="Arial"/>
          <w:color w:val="1F2430"/>
          <w:sz w:val="19"/>
          <w:szCs w:val="19"/>
        </w:rPr>
        <w:t xml:space="preserve">The pilot exists so that the Facility can evaluate SafeLinQ under live operating conditions, on its own unit, with its own residents and its own staff, and so that CareTech can observe how the platform performs in that setting and improve it.</w:t>
      </w:r>
    </w:p>
    <w:p>
      <w:pPr>
        <w:keepNext w:val="false"/>
        <w:spacing w:after="100" w:before="0" w:line="268"/>
        <w:ind w:left="340" w:hanging="340"/>
      </w:pPr>
      <w:r>
        <w:rPr>
          <w:rFonts w:ascii="Arial" w:cs="Arial" w:eastAsia="Arial" w:hAnsi="Arial"/>
          <w:b/>
          <w:bCs/>
          <w:color w:val="6B4C9A"/>
          <w:sz w:val="19"/>
          <w:szCs w:val="19"/>
        </w:rPr>
        <w:t xml:space="preserve">2.3  </w:t>
      </w:r>
      <w:r>
        <w:rPr>
          <w:rFonts w:ascii="Arial" w:cs="Arial" w:eastAsia="Arial" w:hAnsi="Arial"/>
          <w:b/>
          <w:bCs/>
          <w:color w:val="1F2430"/>
          <w:sz w:val="19"/>
          <w:szCs w:val="19"/>
        </w:rPr>
        <w:t xml:space="preserve">Evaluation, not a purchase. </w:t>
      </w:r>
      <w:r>
        <w:rPr>
          <w:rFonts w:ascii="Arial" w:cs="Arial" w:eastAsia="Arial" w:hAnsi="Arial"/>
          <w:color w:val="1F2430"/>
          <w:sz w:val="19"/>
          <w:szCs w:val="19"/>
        </w:rPr>
        <w:t xml:space="preserve">The pilot is an evaluation. Nothing in this Agreement obligates the Facility to purchase, subscribe to, or continue using SafeLinQ, and no purchase obligation arises from participation, from the passage of time, or from silence.</w:t>
      </w:r>
    </w:p>
    <w:p>
      <w:pPr>
        <w:keepNext/>
        <w:pBdr>
          <w:bottom w:val="single" w:color="DFDAEC" w:sz="6" w:space="4"/>
        </w:pBdr>
        <w:spacing w:after="100" w:before="260"/>
      </w:pPr>
      <w:r>
        <w:rPr>
          <w:rFonts w:ascii="Arial" w:cs="Arial" w:eastAsia="Arial" w:hAnsi="Arial"/>
          <w:b/>
          <w:bCs/>
          <w:color w:val="6B4C9A"/>
          <w:sz w:val="23"/>
          <w:szCs w:val="23"/>
        </w:rPr>
        <w:t xml:space="preserve">Article 3.  Structure of the Pilot Program</w:t>
      </w:r>
    </w:p>
    <w:p>
      <w:pPr>
        <w:keepNext/>
        <w:spacing w:after="100" w:before="0" w:line="268"/>
        <w:ind w:left="340" w:hanging="340"/>
      </w:pPr>
      <w:r>
        <w:rPr>
          <w:rFonts w:ascii="Arial" w:cs="Arial" w:eastAsia="Arial" w:hAnsi="Arial"/>
          <w:b/>
          <w:bCs/>
          <w:color w:val="6B4C9A"/>
          <w:sz w:val="19"/>
          <w:szCs w:val="19"/>
        </w:rPr>
        <w:t xml:space="preserve">3.1  </w:t>
      </w:r>
      <w:r>
        <w:rPr>
          <w:rFonts w:ascii="Arial" w:cs="Arial" w:eastAsia="Arial" w:hAnsi="Arial"/>
          <w:b/>
          <w:bCs/>
          <w:color w:val="1F2430"/>
          <w:sz w:val="19"/>
          <w:szCs w:val="19"/>
        </w:rPr>
        <w:t xml:space="preserve">Phased structure. </w:t>
      </w:r>
      <w:r>
        <w:rPr>
          <w:rFonts w:ascii="Arial" w:cs="Arial" w:eastAsia="Arial" w:hAnsi="Arial"/>
          <w:color w:val="1F2430"/>
          <w:sz w:val="19"/>
          <w:szCs w:val="19"/>
        </w:rPr>
        <w:t xml:space="preserve">The pilot advances through the phases below. A phase begins only when the Parties jointly confirm that the prior phase is complete. No phase begins automatically.</w:t>
      </w:r>
    </w:p>
    <w:p>
      <w:pPr>
        <w:keepNext/>
        <w:spacing w:after="0" w:before="0" w:line="120"/>
      </w:pPr>
      <w:r>
        <w:rPr>
          <w:rFonts w:ascii="Arial" w:cs="Arial" w:eastAsia="Arial" w:hAnsi="Arial"/>
          <w:sz w:val="2"/>
          <w:szCs w:val="2"/>
        </w:rPr>
        <w:t xml:space="preserve"/>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900"/>
        <w:gridCol w:w="1780"/>
        <w:gridCol w:w="3960"/>
        <w:gridCol w:w="3440"/>
      </w:tblGrid>
      <w:tr>
        <w:trPr>
          <w:cantSplit/>
          <w:tblHeader/>
        </w:trPr>
        <w:tc>
          <w:tcPr>
            <w:tcW w:type="dxa" w:w="900"/>
            <w:tcBorders>
              <w:top w:val="single" w:color="6B4C9A" w:sz="1"/>
              <w:left w:val="single" w:color="6B4C9A" w:sz="1"/>
              <w:bottom w:val="single" w:color="6B4C9A" w:sz="1"/>
              <w:right w:val="single" w:color="6B4C9A" w:sz="1"/>
            </w:tcBorders>
            <w:shd w:fill="6B4C9A" w:color="auto" w:val="clear"/>
            <w:tcMar>
              <w:top w:type="dxa" w:w="90"/>
              <w:left w:type="dxa" w:w="130"/>
              <w:bottom w:type="dxa" w:w="90"/>
              <w:right w:type="dxa" w:w="130"/>
            </w:tcMar>
            <w:vAlign w:val="center"/>
          </w:tcPr>
          <w:p>
            <w:pPr>
              <w:spacing w:after="0" w:before="0" w:line="250"/>
            </w:pPr>
            <w:r>
              <w:rPr>
                <w:rFonts w:ascii="Arial" w:cs="Arial" w:eastAsia="Arial" w:hAnsi="Arial"/>
                <w:b/>
                <w:bCs/>
                <w:i w:val="false"/>
                <w:iCs w:val="false"/>
                <w:color w:val="FFFFFF"/>
                <w:sz w:val="18"/>
                <w:szCs w:val="18"/>
              </w:rPr>
              <w:t xml:space="preserve">Phase</w:t>
            </w:r>
          </w:p>
        </w:tc>
        <w:tc>
          <w:tcPr>
            <w:tcW w:type="dxa" w:w="1780"/>
            <w:tcBorders>
              <w:top w:val="single" w:color="6B4C9A" w:sz="1"/>
              <w:left w:val="single" w:color="6B4C9A" w:sz="1"/>
              <w:bottom w:val="single" w:color="6B4C9A" w:sz="1"/>
              <w:right w:val="single" w:color="6B4C9A" w:sz="1"/>
            </w:tcBorders>
            <w:shd w:fill="6B4C9A" w:color="auto" w:val="clear"/>
            <w:tcMar>
              <w:top w:type="dxa" w:w="90"/>
              <w:left w:type="dxa" w:w="130"/>
              <w:bottom w:type="dxa" w:w="90"/>
              <w:right w:type="dxa" w:w="130"/>
            </w:tcMar>
            <w:vAlign w:val="center"/>
          </w:tcPr>
          <w:p>
            <w:pPr>
              <w:spacing w:after="0" w:before="0" w:line="250"/>
            </w:pPr>
            <w:r>
              <w:rPr>
                <w:rFonts w:ascii="Arial" w:cs="Arial" w:eastAsia="Arial" w:hAnsi="Arial"/>
                <w:b/>
                <w:bCs/>
                <w:i w:val="false"/>
                <w:iCs w:val="false"/>
                <w:color w:val="FFFFFF"/>
                <w:sz w:val="18"/>
                <w:szCs w:val="18"/>
              </w:rPr>
              <w:t xml:space="preserve">Stage</w:t>
            </w:r>
          </w:p>
        </w:tc>
        <w:tc>
          <w:tcPr>
            <w:tcW w:type="dxa" w:w="3960"/>
            <w:tcBorders>
              <w:top w:val="single" w:color="6B4C9A" w:sz="1"/>
              <w:left w:val="single" w:color="6B4C9A" w:sz="1"/>
              <w:bottom w:val="single" w:color="6B4C9A" w:sz="1"/>
              <w:right w:val="single" w:color="6B4C9A" w:sz="1"/>
            </w:tcBorders>
            <w:shd w:fill="6B4C9A" w:color="auto" w:val="clear"/>
            <w:tcMar>
              <w:top w:type="dxa" w:w="90"/>
              <w:left w:type="dxa" w:w="130"/>
              <w:bottom w:type="dxa" w:w="90"/>
              <w:right w:type="dxa" w:w="130"/>
            </w:tcMar>
            <w:vAlign w:val="center"/>
          </w:tcPr>
          <w:p>
            <w:pPr>
              <w:spacing w:after="0" w:before="0" w:line="250"/>
            </w:pPr>
            <w:r>
              <w:rPr>
                <w:rFonts w:ascii="Arial" w:cs="Arial" w:eastAsia="Arial" w:hAnsi="Arial"/>
                <w:b/>
                <w:bCs/>
                <w:i w:val="false"/>
                <w:iCs w:val="false"/>
                <w:color w:val="FFFFFF"/>
                <w:sz w:val="18"/>
                <w:szCs w:val="18"/>
              </w:rPr>
              <w:t xml:space="preserve">What happens</w:t>
            </w:r>
          </w:p>
        </w:tc>
        <w:tc>
          <w:tcPr>
            <w:tcW w:type="dxa" w:w="3440"/>
            <w:tcBorders>
              <w:top w:val="single" w:color="6B4C9A" w:sz="1"/>
              <w:left w:val="single" w:color="6B4C9A" w:sz="1"/>
              <w:bottom w:val="single" w:color="6B4C9A" w:sz="1"/>
              <w:right w:val="single" w:color="6B4C9A" w:sz="1"/>
            </w:tcBorders>
            <w:shd w:fill="6B4C9A" w:color="auto" w:val="clear"/>
            <w:tcMar>
              <w:top w:type="dxa" w:w="90"/>
              <w:left w:type="dxa" w:w="130"/>
              <w:bottom w:type="dxa" w:w="90"/>
              <w:right w:type="dxa" w:w="130"/>
            </w:tcMar>
            <w:vAlign w:val="center"/>
          </w:tcPr>
          <w:p>
            <w:pPr>
              <w:spacing w:after="0" w:before="0" w:line="250"/>
            </w:pPr>
            <w:r>
              <w:rPr>
                <w:rFonts w:ascii="Arial" w:cs="Arial" w:eastAsia="Arial" w:hAnsi="Arial"/>
                <w:b/>
                <w:bCs/>
                <w:i w:val="false"/>
                <w:iCs w:val="false"/>
                <w:color w:val="FFFFFF"/>
                <w:sz w:val="18"/>
                <w:szCs w:val="18"/>
              </w:rPr>
              <w:t xml:space="preserve">Complete when</w:t>
            </w:r>
          </w:p>
        </w:tc>
      </w:tr>
      <w:tr>
        <w:trPr>
          <w:cantSplit/>
        </w:trPr>
        <w:tc>
          <w:tcPr>
            <w:tcW w:type="dxa" w:w="900"/>
            <w:tcBorders>
              <w:top w:val="single" w:color="DFDAEC" w:sz="1"/>
              <w:left w:val="single" w:color="DFDAEC" w:sz="1"/>
              <w:bottom w:val="single" w:color="DFDAEC" w:sz="1"/>
              <w:right w:val="single" w:color="DFDAEC" w:sz="1"/>
            </w:tcBorders>
            <w:shd w:fill="FFFFFF" w:color="auto" w:val="clear"/>
            <w:tcMar>
              <w:top w:type="dxa" w:w="90"/>
              <w:left w:type="dxa" w:w="130"/>
              <w:bottom w:type="dxa" w:w="90"/>
              <w:right w:type="dxa" w:w="130"/>
            </w:tcMar>
            <w:vAlign w:val="center"/>
          </w:tcPr>
          <w:p>
            <w:pPr>
              <w:spacing w:after="0" w:before="0" w:line="250"/>
            </w:pPr>
            <w:r>
              <w:rPr>
                <w:rFonts w:ascii="Arial" w:cs="Arial" w:eastAsia="Arial" w:hAnsi="Arial"/>
                <w:b/>
                <w:bCs/>
                <w:i w:val="false"/>
                <w:iCs w:val="false"/>
                <w:color w:val="1F2430"/>
                <w:sz w:val="18"/>
                <w:szCs w:val="18"/>
              </w:rPr>
              <w:t xml:space="preserve">1</w:t>
            </w:r>
          </w:p>
        </w:tc>
        <w:tc>
          <w:tcPr>
            <w:tcW w:type="dxa" w:w="1780"/>
            <w:tcBorders>
              <w:top w:val="single" w:color="DFDAEC" w:sz="1"/>
              <w:left w:val="single" w:color="DFDAEC" w:sz="1"/>
              <w:bottom w:val="single" w:color="DFDAEC" w:sz="1"/>
              <w:right w:val="single" w:color="DFDAEC" w:sz="1"/>
            </w:tcBorders>
            <w:shd w:fill="FFFFFF" w:color="auto" w:val="clear"/>
            <w:tcMar>
              <w:top w:type="dxa" w:w="90"/>
              <w:left w:type="dxa" w:w="130"/>
              <w:bottom w:type="dxa" w:w="90"/>
              <w:right w:type="dxa" w:w="130"/>
            </w:tcMar>
            <w:vAlign w:val="center"/>
          </w:tcPr>
          <w:p>
            <w:pPr>
              <w:spacing w:after="0" w:before="0" w:line="250"/>
            </w:pPr>
            <w:r>
              <w:rPr>
                <w:rFonts w:ascii="Arial" w:cs="Arial" w:eastAsia="Arial" w:hAnsi="Arial"/>
                <w:b/>
                <w:bCs/>
                <w:i w:val="false"/>
                <w:iCs w:val="false"/>
                <w:color w:val="1F2430"/>
                <w:sz w:val="18"/>
                <w:szCs w:val="18"/>
              </w:rPr>
              <w:t xml:space="preserve">Execution</w:t>
            </w:r>
          </w:p>
        </w:tc>
        <w:tc>
          <w:tcPr>
            <w:tcW w:type="dxa" w:w="3960"/>
            <w:tcBorders>
              <w:top w:val="single" w:color="DFDAEC" w:sz="1"/>
              <w:left w:val="single" w:color="DFDAEC" w:sz="1"/>
              <w:bottom w:val="single" w:color="DFDAEC" w:sz="1"/>
              <w:right w:val="single" w:color="DFDAEC" w:sz="1"/>
            </w:tcBorders>
            <w:shd w:fill="FFFFFF" w:color="auto" w:val="clear"/>
            <w:tcMar>
              <w:top w:type="dxa" w:w="90"/>
              <w:left w:type="dxa" w:w="130"/>
              <w:bottom w:type="dxa" w:w="90"/>
              <w:right w:type="dxa" w:w="130"/>
            </w:tcMar>
            <w:vAlign w:val="center"/>
          </w:tcPr>
          <w:p>
            <w:pPr>
              <w:spacing w:after="0" w:before="0" w:line="250"/>
            </w:pPr>
            <w:r>
              <w:rPr>
                <w:rFonts w:ascii="Arial" w:cs="Arial" w:eastAsia="Arial" w:hAnsi="Arial"/>
                <w:b w:val="false"/>
                <w:bCs w:val="false"/>
                <w:i w:val="false"/>
                <w:iCs w:val="false"/>
                <w:color w:val="1F2430"/>
                <w:sz w:val="18"/>
                <w:szCs w:val="18"/>
              </w:rPr>
              <w:t xml:space="preserve">Agreements executed. Pilot unit selected. Clinical point person and technical contact named. Kickoff scheduled.</w:t>
            </w:r>
          </w:p>
        </w:tc>
        <w:tc>
          <w:tcPr>
            <w:tcW w:type="dxa" w:w="3440"/>
            <w:tcBorders>
              <w:top w:val="single" w:color="DFDAEC" w:sz="1"/>
              <w:left w:val="single" w:color="DFDAEC" w:sz="1"/>
              <w:bottom w:val="single" w:color="DFDAEC" w:sz="1"/>
              <w:right w:val="single" w:color="DFDAEC" w:sz="1"/>
            </w:tcBorders>
            <w:shd w:fill="FFFFFF" w:color="auto" w:val="clear"/>
            <w:tcMar>
              <w:top w:type="dxa" w:w="90"/>
              <w:left w:type="dxa" w:w="130"/>
              <w:bottom w:type="dxa" w:w="90"/>
              <w:right w:type="dxa" w:w="130"/>
            </w:tcMar>
            <w:vAlign w:val="center"/>
          </w:tcPr>
          <w:p>
            <w:pPr>
              <w:spacing w:after="0" w:before="0" w:line="250"/>
            </w:pPr>
            <w:r>
              <w:rPr>
                <w:rFonts w:ascii="Arial" w:cs="Arial" w:eastAsia="Arial" w:hAnsi="Arial"/>
                <w:b w:val="false"/>
                <w:bCs w:val="false"/>
                <w:i w:val="false"/>
                <w:iCs w:val="false"/>
                <w:color w:val="1F2430"/>
                <w:sz w:val="18"/>
                <w:szCs w:val="18"/>
              </w:rPr>
              <w:t xml:space="preserve">Both Parties confirm scope in Schedule A.</w:t>
            </w:r>
          </w:p>
        </w:tc>
      </w:tr>
      <w:tr>
        <w:trPr>
          <w:cantSplit/>
        </w:trPr>
        <w:tc>
          <w:tcPr>
            <w:tcW w:type="dxa" w:w="900"/>
            <w:tcBorders>
              <w:top w:val="single" w:color="DFDAEC" w:sz="1"/>
              <w:left w:val="single" w:color="DFDAEC" w:sz="1"/>
              <w:bottom w:val="single" w:color="DFDAEC" w:sz="1"/>
              <w:right w:val="single" w:color="DFDAEC" w:sz="1"/>
            </w:tcBorders>
            <w:shd w:fill="F6F4FA" w:color="auto" w:val="clear"/>
            <w:tcMar>
              <w:top w:type="dxa" w:w="90"/>
              <w:left w:type="dxa" w:w="130"/>
              <w:bottom w:type="dxa" w:w="90"/>
              <w:right w:type="dxa" w:w="130"/>
            </w:tcMar>
            <w:vAlign w:val="center"/>
          </w:tcPr>
          <w:p>
            <w:pPr>
              <w:spacing w:after="0" w:before="0" w:line="250"/>
            </w:pPr>
            <w:r>
              <w:rPr>
                <w:rFonts w:ascii="Arial" w:cs="Arial" w:eastAsia="Arial" w:hAnsi="Arial"/>
                <w:b/>
                <w:bCs/>
                <w:i w:val="false"/>
                <w:iCs w:val="false"/>
                <w:color w:val="1F2430"/>
                <w:sz w:val="18"/>
                <w:szCs w:val="18"/>
              </w:rPr>
              <w:t xml:space="preserve">2</w:t>
            </w:r>
          </w:p>
        </w:tc>
        <w:tc>
          <w:tcPr>
            <w:tcW w:type="dxa" w:w="1780"/>
            <w:tcBorders>
              <w:top w:val="single" w:color="DFDAEC" w:sz="1"/>
              <w:left w:val="single" w:color="DFDAEC" w:sz="1"/>
              <w:bottom w:val="single" w:color="DFDAEC" w:sz="1"/>
              <w:right w:val="single" w:color="DFDAEC" w:sz="1"/>
            </w:tcBorders>
            <w:shd w:fill="F6F4FA" w:color="auto" w:val="clear"/>
            <w:tcMar>
              <w:top w:type="dxa" w:w="90"/>
              <w:left w:type="dxa" w:w="130"/>
              <w:bottom w:type="dxa" w:w="90"/>
              <w:right w:type="dxa" w:w="130"/>
            </w:tcMar>
            <w:vAlign w:val="center"/>
          </w:tcPr>
          <w:p>
            <w:pPr>
              <w:spacing w:after="0" w:before="0" w:line="250"/>
            </w:pPr>
            <w:r>
              <w:rPr>
                <w:rFonts w:ascii="Arial" w:cs="Arial" w:eastAsia="Arial" w:hAnsi="Arial"/>
                <w:b/>
                <w:bCs/>
                <w:i w:val="false"/>
                <w:iCs w:val="false"/>
                <w:color w:val="1F2430"/>
                <w:sz w:val="18"/>
                <w:szCs w:val="18"/>
              </w:rPr>
              <w:t xml:space="preserve">Connection</w:t>
            </w:r>
          </w:p>
        </w:tc>
        <w:tc>
          <w:tcPr>
            <w:tcW w:type="dxa" w:w="3960"/>
            <w:tcBorders>
              <w:top w:val="single" w:color="DFDAEC" w:sz="1"/>
              <w:left w:val="single" w:color="DFDAEC" w:sz="1"/>
              <w:bottom w:val="single" w:color="DFDAEC" w:sz="1"/>
              <w:right w:val="single" w:color="DFDAEC" w:sz="1"/>
            </w:tcBorders>
            <w:shd w:fill="F6F4FA" w:color="auto" w:val="clear"/>
            <w:tcMar>
              <w:top w:type="dxa" w:w="90"/>
              <w:left w:type="dxa" w:w="130"/>
              <w:bottom w:type="dxa" w:w="90"/>
              <w:right w:type="dxa" w:w="130"/>
            </w:tcMar>
            <w:vAlign w:val="center"/>
          </w:tcPr>
          <w:p>
            <w:pPr>
              <w:spacing w:after="0" w:before="0" w:line="250"/>
            </w:pPr>
            <w:r>
              <w:rPr>
                <w:rFonts w:ascii="Arial" w:cs="Arial" w:eastAsia="Arial" w:hAnsi="Arial"/>
                <w:b w:val="false"/>
                <w:bCs w:val="false"/>
                <w:i w:val="false"/>
                <w:iCs w:val="false"/>
                <w:color w:val="1F2430"/>
                <w:sz w:val="18"/>
                <w:szCs w:val="18"/>
              </w:rPr>
              <w:t xml:space="preserve">Connection established to the Facility's existing clinical documentation systems. Data validated for completeness.</w:t>
            </w:r>
          </w:p>
        </w:tc>
        <w:tc>
          <w:tcPr>
            <w:tcW w:type="dxa" w:w="3440"/>
            <w:tcBorders>
              <w:top w:val="single" w:color="DFDAEC" w:sz="1"/>
              <w:left w:val="single" w:color="DFDAEC" w:sz="1"/>
              <w:bottom w:val="single" w:color="DFDAEC" w:sz="1"/>
              <w:right w:val="single" w:color="DFDAEC" w:sz="1"/>
            </w:tcBorders>
            <w:shd w:fill="F6F4FA" w:color="auto" w:val="clear"/>
            <w:tcMar>
              <w:top w:type="dxa" w:w="90"/>
              <w:left w:type="dxa" w:w="130"/>
              <w:bottom w:type="dxa" w:w="90"/>
              <w:right w:type="dxa" w:w="130"/>
            </w:tcMar>
            <w:vAlign w:val="center"/>
          </w:tcPr>
          <w:p>
            <w:pPr>
              <w:spacing w:after="0" w:before="0" w:line="250"/>
            </w:pPr>
            <w:r>
              <w:rPr>
                <w:rFonts w:ascii="Arial" w:cs="Arial" w:eastAsia="Arial" w:hAnsi="Arial"/>
                <w:b w:val="false"/>
                <w:bCs w:val="false"/>
                <w:i w:val="false"/>
                <w:iCs w:val="false"/>
                <w:color w:val="1F2430"/>
                <w:sz w:val="18"/>
                <w:szCs w:val="18"/>
              </w:rPr>
              <w:t xml:space="preserve">CareTech confirms a validated data feed.</w:t>
            </w:r>
          </w:p>
        </w:tc>
      </w:tr>
      <w:tr>
        <w:trPr>
          <w:cantSplit/>
        </w:trPr>
        <w:tc>
          <w:tcPr>
            <w:tcW w:type="dxa" w:w="900"/>
            <w:tcBorders>
              <w:top w:val="single" w:color="DFDAEC" w:sz="1"/>
              <w:left w:val="single" w:color="DFDAEC" w:sz="1"/>
              <w:bottom w:val="single" w:color="DFDAEC" w:sz="1"/>
              <w:right w:val="single" w:color="DFDAEC" w:sz="1"/>
            </w:tcBorders>
            <w:shd w:fill="FFFFFF" w:color="auto" w:val="clear"/>
            <w:tcMar>
              <w:top w:type="dxa" w:w="90"/>
              <w:left w:type="dxa" w:w="130"/>
              <w:bottom w:type="dxa" w:w="90"/>
              <w:right w:type="dxa" w:w="130"/>
            </w:tcMar>
            <w:vAlign w:val="center"/>
          </w:tcPr>
          <w:p>
            <w:pPr>
              <w:spacing w:after="0" w:before="0" w:line="250"/>
            </w:pPr>
            <w:r>
              <w:rPr>
                <w:rFonts w:ascii="Arial" w:cs="Arial" w:eastAsia="Arial" w:hAnsi="Arial"/>
                <w:b/>
                <w:bCs/>
                <w:i w:val="false"/>
                <w:iCs w:val="false"/>
                <w:color w:val="1F2430"/>
                <w:sz w:val="18"/>
                <w:szCs w:val="18"/>
              </w:rPr>
              <w:t xml:space="preserve">3</w:t>
            </w:r>
          </w:p>
        </w:tc>
        <w:tc>
          <w:tcPr>
            <w:tcW w:type="dxa" w:w="1780"/>
            <w:tcBorders>
              <w:top w:val="single" w:color="DFDAEC" w:sz="1"/>
              <w:left w:val="single" w:color="DFDAEC" w:sz="1"/>
              <w:bottom w:val="single" w:color="DFDAEC" w:sz="1"/>
              <w:right w:val="single" w:color="DFDAEC" w:sz="1"/>
            </w:tcBorders>
            <w:shd w:fill="FFFFFF" w:color="auto" w:val="clear"/>
            <w:tcMar>
              <w:top w:type="dxa" w:w="90"/>
              <w:left w:type="dxa" w:w="130"/>
              <w:bottom w:type="dxa" w:w="90"/>
              <w:right w:type="dxa" w:w="130"/>
            </w:tcMar>
            <w:vAlign w:val="center"/>
          </w:tcPr>
          <w:p>
            <w:pPr>
              <w:spacing w:after="0" w:before="0" w:line="250"/>
            </w:pPr>
            <w:r>
              <w:rPr>
                <w:rFonts w:ascii="Arial" w:cs="Arial" w:eastAsia="Arial" w:hAnsi="Arial"/>
                <w:b/>
                <w:bCs/>
                <w:i w:val="false"/>
                <w:iCs w:val="false"/>
                <w:color w:val="1F2430"/>
                <w:sz w:val="18"/>
                <w:szCs w:val="18"/>
              </w:rPr>
              <w:t xml:space="preserve">Installation</w:t>
            </w:r>
          </w:p>
        </w:tc>
        <w:tc>
          <w:tcPr>
            <w:tcW w:type="dxa" w:w="3960"/>
            <w:tcBorders>
              <w:top w:val="single" w:color="DFDAEC" w:sz="1"/>
              <w:left w:val="single" w:color="DFDAEC" w:sz="1"/>
              <w:bottom w:val="single" w:color="DFDAEC" w:sz="1"/>
              <w:right w:val="single" w:color="DFDAEC" w:sz="1"/>
            </w:tcBorders>
            <w:shd w:fill="FFFFFF" w:color="auto" w:val="clear"/>
            <w:tcMar>
              <w:top w:type="dxa" w:w="90"/>
              <w:left w:type="dxa" w:w="130"/>
              <w:bottom w:type="dxa" w:w="90"/>
              <w:right w:type="dxa" w:w="130"/>
            </w:tcMar>
            <w:vAlign w:val="center"/>
          </w:tcPr>
          <w:p>
            <w:pPr>
              <w:spacing w:after="0" w:before="0" w:line="250"/>
            </w:pPr>
            <w:r>
              <w:rPr>
                <w:rFonts w:ascii="Arial" w:cs="Arial" w:eastAsia="Arial" w:hAnsi="Arial"/>
                <w:b w:val="false"/>
                <w:bCs w:val="false"/>
                <w:i w:val="false"/>
                <w:iCs w:val="false"/>
                <w:color w:val="1F2430"/>
                <w:sz w:val="18"/>
                <w:szCs w:val="18"/>
              </w:rPr>
              <w:t xml:space="preserve">SafeLinQ sensing engine installed and calibrated in the rooms within pilot scope.</w:t>
            </w:r>
          </w:p>
        </w:tc>
        <w:tc>
          <w:tcPr>
            <w:tcW w:type="dxa" w:w="3440"/>
            <w:tcBorders>
              <w:top w:val="single" w:color="DFDAEC" w:sz="1"/>
              <w:left w:val="single" w:color="DFDAEC" w:sz="1"/>
              <w:bottom w:val="single" w:color="DFDAEC" w:sz="1"/>
              <w:right w:val="single" w:color="DFDAEC" w:sz="1"/>
            </w:tcBorders>
            <w:shd w:fill="FFFFFF" w:color="auto" w:val="clear"/>
            <w:tcMar>
              <w:top w:type="dxa" w:w="90"/>
              <w:left w:type="dxa" w:w="130"/>
              <w:bottom w:type="dxa" w:w="90"/>
              <w:right w:type="dxa" w:w="130"/>
            </w:tcMar>
            <w:vAlign w:val="center"/>
          </w:tcPr>
          <w:p>
            <w:pPr>
              <w:spacing w:after="0" w:before="0" w:line="250"/>
            </w:pPr>
            <w:r>
              <w:rPr>
                <w:rFonts w:ascii="Arial" w:cs="Arial" w:eastAsia="Arial" w:hAnsi="Arial"/>
                <w:b w:val="false"/>
                <w:bCs w:val="false"/>
                <w:i w:val="false"/>
                <w:iCs w:val="false"/>
                <w:color w:val="1F2430"/>
                <w:sz w:val="18"/>
                <w:szCs w:val="18"/>
              </w:rPr>
              <w:t xml:space="preserve">All installed equipment is transmitting.</w:t>
            </w:r>
          </w:p>
        </w:tc>
      </w:tr>
      <w:tr>
        <w:trPr>
          <w:cantSplit/>
        </w:trPr>
        <w:tc>
          <w:tcPr>
            <w:tcW w:type="dxa" w:w="900"/>
            <w:tcBorders>
              <w:top w:val="single" w:color="DFDAEC" w:sz="1"/>
              <w:left w:val="single" w:color="DFDAEC" w:sz="1"/>
              <w:bottom w:val="single" w:color="DFDAEC" w:sz="1"/>
              <w:right w:val="single" w:color="DFDAEC" w:sz="1"/>
            </w:tcBorders>
            <w:shd w:fill="F6F4FA" w:color="auto" w:val="clear"/>
            <w:tcMar>
              <w:top w:type="dxa" w:w="90"/>
              <w:left w:type="dxa" w:w="130"/>
              <w:bottom w:type="dxa" w:w="90"/>
              <w:right w:type="dxa" w:w="130"/>
            </w:tcMar>
            <w:vAlign w:val="center"/>
          </w:tcPr>
          <w:p>
            <w:pPr>
              <w:spacing w:after="0" w:before="0" w:line="250"/>
            </w:pPr>
            <w:r>
              <w:rPr>
                <w:rFonts w:ascii="Arial" w:cs="Arial" w:eastAsia="Arial" w:hAnsi="Arial"/>
                <w:b/>
                <w:bCs/>
                <w:i w:val="false"/>
                <w:iCs w:val="false"/>
                <w:color w:val="1F2430"/>
                <w:sz w:val="18"/>
                <w:szCs w:val="18"/>
              </w:rPr>
              <w:t xml:space="preserve">4</w:t>
            </w:r>
          </w:p>
        </w:tc>
        <w:tc>
          <w:tcPr>
            <w:tcW w:type="dxa" w:w="1780"/>
            <w:tcBorders>
              <w:top w:val="single" w:color="DFDAEC" w:sz="1"/>
              <w:left w:val="single" w:color="DFDAEC" w:sz="1"/>
              <w:bottom w:val="single" w:color="DFDAEC" w:sz="1"/>
              <w:right w:val="single" w:color="DFDAEC" w:sz="1"/>
            </w:tcBorders>
            <w:shd w:fill="F6F4FA" w:color="auto" w:val="clear"/>
            <w:tcMar>
              <w:top w:type="dxa" w:w="90"/>
              <w:left w:type="dxa" w:w="130"/>
              <w:bottom w:type="dxa" w:w="90"/>
              <w:right w:type="dxa" w:w="130"/>
            </w:tcMar>
            <w:vAlign w:val="center"/>
          </w:tcPr>
          <w:p>
            <w:pPr>
              <w:spacing w:after="0" w:before="0" w:line="250"/>
            </w:pPr>
            <w:r>
              <w:rPr>
                <w:rFonts w:ascii="Arial" w:cs="Arial" w:eastAsia="Arial" w:hAnsi="Arial"/>
                <w:b/>
                <w:bCs/>
                <w:i w:val="false"/>
                <w:iCs w:val="false"/>
                <w:color w:val="1F2430"/>
                <w:sz w:val="18"/>
                <w:szCs w:val="18"/>
              </w:rPr>
              <w:t xml:space="preserve">Orientation</w:t>
            </w:r>
          </w:p>
        </w:tc>
        <w:tc>
          <w:tcPr>
            <w:tcW w:type="dxa" w:w="3960"/>
            <w:tcBorders>
              <w:top w:val="single" w:color="DFDAEC" w:sz="1"/>
              <w:left w:val="single" w:color="DFDAEC" w:sz="1"/>
              <w:bottom w:val="single" w:color="DFDAEC" w:sz="1"/>
              <w:right w:val="single" w:color="DFDAEC" w:sz="1"/>
            </w:tcBorders>
            <w:shd w:fill="F6F4FA" w:color="auto" w:val="clear"/>
            <w:tcMar>
              <w:top w:type="dxa" w:w="90"/>
              <w:left w:type="dxa" w:w="130"/>
              <w:bottom w:type="dxa" w:w="90"/>
              <w:right w:type="dxa" w:w="130"/>
            </w:tcMar>
            <w:vAlign w:val="center"/>
          </w:tcPr>
          <w:p>
            <w:pPr>
              <w:spacing w:after="0" w:before="0" w:line="250"/>
            </w:pPr>
            <w:r>
              <w:rPr>
                <w:rFonts w:ascii="Arial" w:cs="Arial" w:eastAsia="Arial" w:hAnsi="Arial"/>
                <w:b w:val="false"/>
                <w:bCs w:val="false"/>
                <w:i w:val="false"/>
                <w:iCs w:val="false"/>
                <w:color w:val="1F2430"/>
                <w:sz w:val="18"/>
                <w:szCs w:val="18"/>
              </w:rPr>
              <w:t xml:space="preserve">Staff orientation delivered on the Facility's own shift schedule, days, evenings, and nights as applicable.</w:t>
            </w:r>
          </w:p>
        </w:tc>
        <w:tc>
          <w:tcPr>
            <w:tcW w:type="dxa" w:w="3440"/>
            <w:tcBorders>
              <w:top w:val="single" w:color="DFDAEC" w:sz="1"/>
              <w:left w:val="single" w:color="DFDAEC" w:sz="1"/>
              <w:bottom w:val="single" w:color="DFDAEC" w:sz="1"/>
              <w:right w:val="single" w:color="DFDAEC" w:sz="1"/>
            </w:tcBorders>
            <w:shd w:fill="F6F4FA" w:color="auto" w:val="clear"/>
            <w:tcMar>
              <w:top w:type="dxa" w:w="90"/>
              <w:left w:type="dxa" w:w="130"/>
              <w:bottom w:type="dxa" w:w="90"/>
              <w:right w:type="dxa" w:w="130"/>
            </w:tcMar>
            <w:vAlign w:val="center"/>
          </w:tcPr>
          <w:p>
            <w:pPr>
              <w:spacing w:after="0" w:before="0" w:line="250"/>
            </w:pPr>
            <w:r>
              <w:rPr>
                <w:rFonts w:ascii="Arial" w:cs="Arial" w:eastAsia="Arial" w:hAnsi="Arial"/>
                <w:b w:val="false"/>
                <w:bCs w:val="false"/>
                <w:i w:val="false"/>
                <w:iCs w:val="false"/>
                <w:color w:val="1F2430"/>
                <w:sz w:val="18"/>
                <w:szCs w:val="18"/>
              </w:rPr>
              <w:t xml:space="preserve">Oriented staff are named on the pilot unit.</w:t>
            </w:r>
          </w:p>
        </w:tc>
      </w:tr>
      <w:tr>
        <w:trPr>
          <w:cantSplit/>
        </w:trPr>
        <w:tc>
          <w:tcPr>
            <w:tcW w:type="dxa" w:w="900"/>
            <w:tcBorders>
              <w:top w:val="single" w:color="DFDAEC" w:sz="1"/>
              <w:left w:val="single" w:color="DFDAEC" w:sz="1"/>
              <w:bottom w:val="single" w:color="DFDAEC" w:sz="1"/>
              <w:right w:val="single" w:color="DFDAEC" w:sz="1"/>
            </w:tcBorders>
            <w:shd w:fill="FFFFFF" w:color="auto" w:val="clear"/>
            <w:tcMar>
              <w:top w:type="dxa" w:w="90"/>
              <w:left w:type="dxa" w:w="130"/>
              <w:bottom w:type="dxa" w:w="90"/>
              <w:right w:type="dxa" w:w="130"/>
            </w:tcMar>
            <w:vAlign w:val="center"/>
          </w:tcPr>
          <w:p>
            <w:pPr>
              <w:spacing w:after="0" w:before="0" w:line="250"/>
            </w:pPr>
            <w:r>
              <w:rPr>
                <w:rFonts w:ascii="Arial" w:cs="Arial" w:eastAsia="Arial" w:hAnsi="Arial"/>
                <w:b/>
                <w:bCs/>
                <w:i w:val="false"/>
                <w:iCs w:val="false"/>
                <w:color w:val="1F2430"/>
                <w:sz w:val="18"/>
                <w:szCs w:val="18"/>
              </w:rPr>
              <w:t xml:space="preserve">5</w:t>
            </w:r>
          </w:p>
        </w:tc>
        <w:tc>
          <w:tcPr>
            <w:tcW w:type="dxa" w:w="1780"/>
            <w:tcBorders>
              <w:top w:val="single" w:color="DFDAEC" w:sz="1"/>
              <w:left w:val="single" w:color="DFDAEC" w:sz="1"/>
              <w:bottom w:val="single" w:color="DFDAEC" w:sz="1"/>
              <w:right w:val="single" w:color="DFDAEC" w:sz="1"/>
            </w:tcBorders>
            <w:shd w:fill="FFFFFF" w:color="auto" w:val="clear"/>
            <w:tcMar>
              <w:top w:type="dxa" w:w="90"/>
              <w:left w:type="dxa" w:w="130"/>
              <w:bottom w:type="dxa" w:w="90"/>
              <w:right w:type="dxa" w:w="130"/>
            </w:tcMar>
            <w:vAlign w:val="center"/>
          </w:tcPr>
          <w:p>
            <w:pPr>
              <w:spacing w:after="0" w:before="0" w:line="250"/>
            </w:pPr>
            <w:r>
              <w:rPr>
                <w:rFonts w:ascii="Arial" w:cs="Arial" w:eastAsia="Arial" w:hAnsi="Arial"/>
                <w:b/>
                <w:bCs/>
                <w:i w:val="false"/>
                <w:iCs w:val="false"/>
                <w:color w:val="1F2430"/>
                <w:sz w:val="18"/>
                <w:szCs w:val="18"/>
              </w:rPr>
              <w:t xml:space="preserve">Observation</w:t>
            </w:r>
          </w:p>
        </w:tc>
        <w:tc>
          <w:tcPr>
            <w:tcW w:type="dxa" w:w="3960"/>
            <w:tcBorders>
              <w:top w:val="single" w:color="DFDAEC" w:sz="1"/>
              <w:left w:val="single" w:color="DFDAEC" w:sz="1"/>
              <w:bottom w:val="single" w:color="DFDAEC" w:sz="1"/>
              <w:right w:val="single" w:color="DFDAEC" w:sz="1"/>
            </w:tcBorders>
            <w:shd w:fill="FFFFFF" w:color="auto" w:val="clear"/>
            <w:tcMar>
              <w:top w:type="dxa" w:w="90"/>
              <w:left w:type="dxa" w:w="130"/>
              <w:bottom w:type="dxa" w:w="90"/>
              <w:right w:type="dxa" w:w="130"/>
            </w:tcMar>
            <w:vAlign w:val="center"/>
          </w:tcPr>
          <w:p>
            <w:pPr>
              <w:spacing w:after="0" w:before="0" w:line="250"/>
            </w:pPr>
            <w:r>
              <w:rPr>
                <w:rFonts w:ascii="Arial" w:cs="Arial" w:eastAsia="Arial" w:hAnsi="Arial"/>
                <w:b w:val="false"/>
                <w:bCs w:val="false"/>
                <w:i w:val="false"/>
                <w:iCs w:val="false"/>
                <w:color w:val="1F2430"/>
                <w:sz w:val="18"/>
                <w:szCs w:val="18"/>
              </w:rPr>
              <w:t xml:space="preserve">Platform live on the pilot unit. Review sessions at the cadence the Facility sets.</w:t>
            </w:r>
          </w:p>
        </w:tc>
        <w:tc>
          <w:tcPr>
            <w:tcW w:type="dxa" w:w="3440"/>
            <w:tcBorders>
              <w:top w:val="single" w:color="DFDAEC" w:sz="1"/>
              <w:left w:val="single" w:color="DFDAEC" w:sz="1"/>
              <w:bottom w:val="single" w:color="DFDAEC" w:sz="1"/>
              <w:right w:val="single" w:color="DFDAEC" w:sz="1"/>
            </w:tcBorders>
            <w:shd w:fill="FFFFFF" w:color="auto" w:val="clear"/>
            <w:tcMar>
              <w:top w:type="dxa" w:w="90"/>
              <w:left w:type="dxa" w:w="130"/>
              <w:bottom w:type="dxa" w:w="90"/>
              <w:right w:type="dxa" w:w="130"/>
            </w:tcMar>
            <w:vAlign w:val="center"/>
          </w:tcPr>
          <w:p>
            <w:pPr>
              <w:spacing w:after="0" w:before="0" w:line="250"/>
            </w:pPr>
            <w:r>
              <w:rPr>
                <w:rFonts w:ascii="Arial" w:cs="Arial" w:eastAsia="Arial" w:hAnsi="Arial"/>
                <w:b w:val="false"/>
                <w:bCs w:val="false"/>
                <w:i w:val="false"/>
                <w:iCs w:val="false"/>
                <w:color w:val="1F2430"/>
                <w:sz w:val="18"/>
                <w:szCs w:val="18"/>
              </w:rPr>
              <w:t xml:space="preserve">Continuing, until Phase 6 is called.</w:t>
            </w:r>
          </w:p>
        </w:tc>
      </w:tr>
      <w:tr>
        <w:trPr>
          <w:cantSplit/>
        </w:trPr>
        <w:tc>
          <w:tcPr>
            <w:tcW w:type="dxa" w:w="900"/>
            <w:tcBorders>
              <w:top w:val="single" w:color="DFDAEC" w:sz="1"/>
              <w:left w:val="single" w:color="DFDAEC" w:sz="1"/>
              <w:bottom w:val="single" w:color="DFDAEC" w:sz="1"/>
              <w:right w:val="single" w:color="DFDAEC" w:sz="1"/>
            </w:tcBorders>
            <w:shd w:fill="F6F4FA" w:color="auto" w:val="clear"/>
            <w:tcMar>
              <w:top w:type="dxa" w:w="90"/>
              <w:left w:type="dxa" w:w="130"/>
              <w:bottom w:type="dxa" w:w="90"/>
              <w:right w:type="dxa" w:w="130"/>
            </w:tcMar>
            <w:vAlign w:val="center"/>
          </w:tcPr>
          <w:p>
            <w:pPr>
              <w:spacing w:after="0" w:before="0" w:line="250"/>
            </w:pPr>
            <w:r>
              <w:rPr>
                <w:rFonts w:ascii="Arial" w:cs="Arial" w:eastAsia="Arial" w:hAnsi="Arial"/>
                <w:b/>
                <w:bCs/>
                <w:i w:val="false"/>
                <w:iCs w:val="false"/>
                <w:color w:val="1F2430"/>
                <w:sz w:val="18"/>
                <w:szCs w:val="18"/>
              </w:rPr>
              <w:t xml:space="preserve">6</w:t>
            </w:r>
          </w:p>
        </w:tc>
        <w:tc>
          <w:tcPr>
            <w:tcW w:type="dxa" w:w="1780"/>
            <w:tcBorders>
              <w:top w:val="single" w:color="DFDAEC" w:sz="1"/>
              <w:left w:val="single" w:color="DFDAEC" w:sz="1"/>
              <w:bottom w:val="single" w:color="DFDAEC" w:sz="1"/>
              <w:right w:val="single" w:color="DFDAEC" w:sz="1"/>
            </w:tcBorders>
            <w:shd w:fill="F6F4FA" w:color="auto" w:val="clear"/>
            <w:tcMar>
              <w:top w:type="dxa" w:w="90"/>
              <w:left w:type="dxa" w:w="130"/>
              <w:bottom w:type="dxa" w:w="90"/>
              <w:right w:type="dxa" w:w="130"/>
            </w:tcMar>
            <w:vAlign w:val="center"/>
          </w:tcPr>
          <w:p>
            <w:pPr>
              <w:spacing w:after="0" w:before="0" w:line="250"/>
            </w:pPr>
            <w:r>
              <w:rPr>
                <w:rFonts w:ascii="Arial" w:cs="Arial" w:eastAsia="Arial" w:hAnsi="Arial"/>
                <w:b/>
                <w:bCs/>
                <w:i w:val="false"/>
                <w:iCs w:val="false"/>
                <w:color w:val="1F2430"/>
                <w:sz w:val="18"/>
                <w:szCs w:val="18"/>
              </w:rPr>
              <w:t xml:space="preserve">Joint review</w:t>
            </w:r>
          </w:p>
        </w:tc>
        <w:tc>
          <w:tcPr>
            <w:tcW w:type="dxa" w:w="3960"/>
            <w:tcBorders>
              <w:top w:val="single" w:color="DFDAEC" w:sz="1"/>
              <w:left w:val="single" w:color="DFDAEC" w:sz="1"/>
              <w:bottom w:val="single" w:color="DFDAEC" w:sz="1"/>
              <w:right w:val="single" w:color="DFDAEC" w:sz="1"/>
            </w:tcBorders>
            <w:shd w:fill="F6F4FA" w:color="auto" w:val="clear"/>
            <w:tcMar>
              <w:top w:type="dxa" w:w="90"/>
              <w:left w:type="dxa" w:w="130"/>
              <w:bottom w:type="dxa" w:w="90"/>
              <w:right w:type="dxa" w:w="130"/>
            </w:tcMar>
            <w:vAlign w:val="center"/>
          </w:tcPr>
          <w:p>
            <w:pPr>
              <w:spacing w:after="0" w:before="0" w:line="250"/>
            </w:pPr>
            <w:r>
              <w:rPr>
                <w:rFonts w:ascii="Arial" w:cs="Arial" w:eastAsia="Arial" w:hAnsi="Arial"/>
                <w:b w:val="false"/>
                <w:bCs w:val="false"/>
                <w:i w:val="false"/>
                <w:iCs w:val="false"/>
                <w:color w:val="1F2430"/>
                <w:sz w:val="18"/>
                <w:szCs w:val="18"/>
              </w:rPr>
              <w:t xml:space="preserve">Joint review of what the platform observed, what it missed, and how it fit the floor workflow.</w:t>
            </w:r>
          </w:p>
        </w:tc>
        <w:tc>
          <w:tcPr>
            <w:tcW w:type="dxa" w:w="3440"/>
            <w:tcBorders>
              <w:top w:val="single" w:color="DFDAEC" w:sz="1"/>
              <w:left w:val="single" w:color="DFDAEC" w:sz="1"/>
              <w:bottom w:val="single" w:color="DFDAEC" w:sz="1"/>
              <w:right w:val="single" w:color="DFDAEC" w:sz="1"/>
            </w:tcBorders>
            <w:shd w:fill="F6F4FA" w:color="auto" w:val="clear"/>
            <w:tcMar>
              <w:top w:type="dxa" w:w="90"/>
              <w:left w:type="dxa" w:w="130"/>
              <w:bottom w:type="dxa" w:w="90"/>
              <w:right w:type="dxa" w:w="130"/>
            </w:tcMar>
            <w:vAlign w:val="center"/>
          </w:tcPr>
          <w:p>
            <w:pPr>
              <w:spacing w:after="0" w:before="0" w:line="250"/>
            </w:pPr>
            <w:r>
              <w:rPr>
                <w:rFonts w:ascii="Arial" w:cs="Arial" w:eastAsia="Arial" w:hAnsi="Arial"/>
                <w:b w:val="false"/>
                <w:bCs w:val="false"/>
                <w:i w:val="false"/>
                <w:iCs w:val="false"/>
                <w:color w:val="1F2430"/>
                <w:sz w:val="18"/>
                <w:szCs w:val="18"/>
              </w:rPr>
              <w:t xml:space="preserve">Either Party calls it, at any time.</w:t>
            </w:r>
          </w:p>
        </w:tc>
      </w:tr>
    </w:tbl>
    <w:p>
      <w:pPr>
        <w:keepNext w:val="false"/>
        <w:spacing w:after="0" w:before="0" w:line="140"/>
      </w:pPr>
      <w:r>
        <w:rPr>
          <w:rFonts w:ascii="Arial" w:cs="Arial" w:eastAsia="Arial" w:hAnsi="Arial"/>
          <w:sz w:val="2"/>
          <w:szCs w:val="2"/>
        </w:rPr>
        <w:t xml:space="preserve"/>
      </w:r>
    </w:p>
    <w:p>
      <w:pPr>
        <w:keepNext w:val="false"/>
        <w:spacing w:after="100" w:before="0" w:line="268"/>
        <w:ind w:left="340" w:hanging="340"/>
      </w:pPr>
      <w:r>
        <w:rPr>
          <w:rFonts w:ascii="Arial" w:cs="Arial" w:eastAsia="Arial" w:hAnsi="Arial"/>
          <w:b/>
          <w:bCs/>
          <w:color w:val="6B4C9A"/>
          <w:sz w:val="19"/>
          <w:szCs w:val="19"/>
        </w:rPr>
        <w:t xml:space="preserve">3.2  </w:t>
      </w:r>
      <w:r>
        <w:rPr>
          <w:rFonts w:ascii="Arial" w:cs="Arial" w:eastAsia="Arial" w:hAnsi="Arial"/>
          <w:b/>
          <w:bCs/>
          <w:color w:val="1F2430"/>
          <w:sz w:val="19"/>
          <w:szCs w:val="19"/>
        </w:rPr>
        <w:t xml:space="preserve">No fixed duration. </w:t>
      </w:r>
      <w:r>
        <w:rPr>
          <w:rFonts w:ascii="Arial" w:cs="Arial" w:eastAsia="Arial" w:hAnsi="Arial"/>
          <w:color w:val="1F2430"/>
          <w:sz w:val="19"/>
          <w:szCs w:val="19"/>
        </w:rPr>
        <w:t xml:space="preserve">The pilot has no fixed end date, no fixed number of days, and no automatic expiry. It continues until concluded under Article 10 or until the Parties execute a separate subscription agreement under Article 9.</w:t>
      </w:r>
    </w:p>
    <w:p>
      <w:pPr>
        <w:keepNext w:val="false"/>
        <w:spacing w:after="100" w:before="0" w:line="268"/>
        <w:ind w:left="340" w:hanging="340"/>
      </w:pPr>
      <w:r>
        <w:rPr>
          <w:rFonts w:ascii="Arial" w:cs="Arial" w:eastAsia="Arial" w:hAnsi="Arial"/>
          <w:b/>
          <w:bCs/>
          <w:color w:val="6B4C9A"/>
          <w:sz w:val="19"/>
          <w:szCs w:val="19"/>
        </w:rPr>
        <w:t xml:space="preserve">3.3  </w:t>
      </w:r>
      <w:r>
        <w:rPr>
          <w:rFonts w:ascii="Arial" w:cs="Arial" w:eastAsia="Arial" w:hAnsi="Arial"/>
          <w:b/>
          <w:bCs/>
          <w:color w:val="1F2430"/>
          <w:sz w:val="19"/>
          <w:szCs w:val="19"/>
        </w:rPr>
        <w:t xml:space="preserve">Scope may be narrowed. </w:t>
      </w:r>
      <w:r>
        <w:rPr>
          <w:rFonts w:ascii="Arial" w:cs="Arial" w:eastAsia="Arial" w:hAnsi="Arial"/>
          <w:color w:val="1F2430"/>
          <w:sz w:val="19"/>
          <w:szCs w:val="19"/>
        </w:rPr>
        <w:t xml:space="preserve">The Facility may reduce the scope of the pilot at any time, for example to fewer residents, a single unit, or a single shift. Narrowing the scope is a normal outcome of an evaluation. It is not a default, not a breach, and carries no penalty.</w:t>
      </w:r>
    </w:p>
    <w:p>
      <w:pPr>
        <w:keepNext w:val="false"/>
        <w:spacing w:after="100" w:before="0" w:line="268"/>
        <w:ind w:left="340" w:hanging="340"/>
      </w:pPr>
      <w:r>
        <w:rPr>
          <w:rFonts w:ascii="Arial" w:cs="Arial" w:eastAsia="Arial" w:hAnsi="Arial"/>
          <w:b/>
          <w:bCs/>
          <w:color w:val="6B4C9A"/>
          <w:sz w:val="19"/>
          <w:szCs w:val="19"/>
        </w:rPr>
        <w:t xml:space="preserve">3.4  </w:t>
      </w:r>
      <w:r>
        <w:rPr>
          <w:rFonts w:ascii="Arial" w:cs="Arial" w:eastAsia="Arial" w:hAnsi="Arial"/>
          <w:b/>
          <w:bCs/>
          <w:color w:val="1F2430"/>
          <w:sz w:val="19"/>
          <w:szCs w:val="19"/>
        </w:rPr>
        <w:t xml:space="preserve">Facility specific scope. </w:t>
      </w:r>
      <w:r>
        <w:rPr>
          <w:rFonts w:ascii="Arial" w:cs="Arial" w:eastAsia="Arial" w:hAnsi="Arial"/>
          <w:color w:val="1F2430"/>
          <w:sz w:val="19"/>
          <w:szCs w:val="19"/>
        </w:rPr>
        <w:t xml:space="preserve">The pilot unit, the number of rooms and residents in scope, the named contacts, and the review cadence are set out in Schedule A, which forms part of this Agreement.</w:t>
      </w:r>
    </w:p>
    <w:p>
      <w:pPr>
        <w:keepNext/>
        <w:pBdr>
          <w:bottom w:val="single" w:color="DFDAEC" w:sz="6" w:space="4"/>
        </w:pBdr>
        <w:spacing w:after="100" w:before="260"/>
      </w:pPr>
      <w:r>
        <w:rPr>
          <w:rFonts w:ascii="Arial" w:cs="Arial" w:eastAsia="Arial" w:hAnsi="Arial"/>
          <w:b/>
          <w:bCs/>
          <w:color w:val="6B4C9A"/>
          <w:sz w:val="23"/>
          <w:szCs w:val="23"/>
        </w:rPr>
        <w:t xml:space="preserve">Article 4.  Fees, Equipment, and Costs</w:t>
      </w:r>
    </w:p>
    <w:p>
      <w:pPr>
        <w:keepNext w:val="false"/>
        <w:spacing w:after="100" w:before="0" w:line="268"/>
        <w:ind w:left="340" w:hanging="340"/>
      </w:pPr>
      <w:r>
        <w:rPr>
          <w:rFonts w:ascii="Arial" w:cs="Arial" w:eastAsia="Arial" w:hAnsi="Arial"/>
          <w:b/>
          <w:bCs/>
          <w:color w:val="6B4C9A"/>
          <w:sz w:val="19"/>
          <w:szCs w:val="19"/>
        </w:rPr>
        <w:t xml:space="preserve">4.1  </w:t>
      </w:r>
      <w:r>
        <w:rPr>
          <w:rFonts w:ascii="Arial" w:cs="Arial" w:eastAsia="Arial" w:hAnsi="Arial"/>
          <w:b/>
          <w:bCs/>
          <w:color w:val="1F2430"/>
          <w:sz w:val="19"/>
          <w:szCs w:val="19"/>
        </w:rPr>
        <w:t xml:space="preserve">No fees. </w:t>
      </w:r>
      <w:r>
        <w:rPr>
          <w:rFonts w:ascii="Arial" w:cs="Arial" w:eastAsia="Arial" w:hAnsi="Arial"/>
          <w:color w:val="1F2430"/>
          <w:sz w:val="19"/>
          <w:szCs w:val="19"/>
        </w:rPr>
        <w:t xml:space="preserve">No platform fee, subscription fee, installation fee, orientation fee, support fee, or fee of any other description is charged to the Facility during the pilot. CareTech bears its own cost of delivering the pilot.</w:t>
      </w:r>
    </w:p>
    <w:p>
      <w:pPr>
        <w:keepNext w:val="false"/>
        <w:spacing w:after="100" w:before="0" w:line="268"/>
        <w:ind w:left="340" w:hanging="340"/>
      </w:pPr>
      <w:r>
        <w:rPr>
          <w:rFonts w:ascii="Arial" w:cs="Arial" w:eastAsia="Arial" w:hAnsi="Arial"/>
          <w:b/>
          <w:bCs/>
          <w:color w:val="6B4C9A"/>
          <w:sz w:val="19"/>
          <w:szCs w:val="19"/>
        </w:rPr>
        <w:t xml:space="preserve">4.2  </w:t>
      </w:r>
      <w:r>
        <w:rPr>
          <w:rFonts w:ascii="Arial" w:cs="Arial" w:eastAsia="Arial" w:hAnsi="Arial"/>
          <w:b/>
          <w:bCs/>
          <w:color w:val="1F2430"/>
          <w:sz w:val="19"/>
          <w:szCs w:val="19"/>
        </w:rPr>
        <w:t xml:space="preserve">Equipment at no charge. </w:t>
      </w:r>
      <w:r>
        <w:rPr>
          <w:rFonts w:ascii="Arial" w:cs="Arial" w:eastAsia="Arial" w:hAnsi="Arial"/>
          <w:color w:val="1F2430"/>
          <w:sz w:val="19"/>
          <w:szCs w:val="19"/>
        </w:rPr>
        <w:t xml:space="preserve">CareTech provides all SafeLinQ sensing equipment used in the pilot at no charge to the Facility. Title to the equipment remains with CareTech at all times. No purchase price, lease payment, rental charge, or hardware line item is payable by the Facility.</w:t>
      </w:r>
    </w:p>
    <w:p>
      <w:pPr>
        <w:keepNext/>
        <w:spacing w:after="100" w:before="0" w:line="268"/>
        <w:ind w:left="340" w:hanging="340"/>
      </w:pPr>
      <w:r>
        <w:rPr>
          <w:rFonts w:ascii="Arial" w:cs="Arial" w:eastAsia="Arial" w:hAnsi="Arial"/>
          <w:b/>
          <w:bCs/>
          <w:color w:val="6B4C9A"/>
          <w:sz w:val="19"/>
          <w:szCs w:val="19"/>
        </w:rPr>
        <w:t xml:space="preserve">4.3  </w:t>
      </w:r>
      <w:r>
        <w:rPr>
          <w:rFonts w:ascii="Arial" w:cs="Arial" w:eastAsia="Arial" w:hAnsi="Arial"/>
          <w:b/>
          <w:bCs/>
          <w:color w:val="1F2430"/>
          <w:sz w:val="19"/>
          <w:szCs w:val="19"/>
        </w:rPr>
        <w:t xml:space="preserve">Care, custody, and control. </w:t>
      </w:r>
      <w:r>
        <w:rPr>
          <w:rFonts w:ascii="Arial" w:cs="Arial" w:eastAsia="Arial" w:hAnsi="Arial"/>
          <w:color w:val="1F2430"/>
          <w:sz w:val="19"/>
          <w:szCs w:val="19"/>
        </w:rPr>
        <w:t xml:space="preserve">From the time equipment is delivered to the Facility until it is removed, the Facility has care, custody, and control of that equipment and is responsible for the following:</w:t>
      </w:r>
    </w:p>
    <w:p>
      <w:pPr>
        <w:spacing w:after="60" w:before="0" w:line="264"/>
        <w:ind w:left="700" w:hanging="200"/>
      </w:pPr>
      <w:r>
        <w:rPr>
          <w:rFonts w:ascii="Arial" w:cs="Arial" w:eastAsia="Arial" w:hAnsi="Arial"/>
          <w:color w:val="9482FF"/>
          <w:sz w:val="19"/>
          <w:szCs w:val="19"/>
        </w:rPr>
        <w:t xml:space="preserve">•  </w:t>
      </w:r>
      <w:r>
        <w:rPr>
          <w:rFonts w:ascii="Arial" w:cs="Arial" w:eastAsia="Arial" w:hAnsi="Arial"/>
          <w:color w:val="1F2430"/>
          <w:sz w:val="19"/>
          <w:szCs w:val="19"/>
        </w:rPr>
        <w:t xml:space="preserve">Loss, theft, or damage to the equipment, other than ordinary wear and damage arising from normal operation or from a defect in the equipment itself.</w:t>
      </w:r>
    </w:p>
    <w:p>
      <w:pPr>
        <w:spacing w:after="60" w:before="0" w:line="264"/>
        <w:ind w:left="700" w:hanging="200"/>
      </w:pPr>
      <w:r>
        <w:rPr>
          <w:rFonts w:ascii="Arial" w:cs="Arial" w:eastAsia="Arial" w:hAnsi="Arial"/>
          <w:color w:val="9482FF"/>
          <w:sz w:val="19"/>
          <w:szCs w:val="19"/>
        </w:rPr>
        <w:t xml:space="preserve">•  </w:t>
      </w:r>
      <w:r>
        <w:rPr>
          <w:rFonts w:ascii="Arial" w:cs="Arial" w:eastAsia="Arial" w:hAnsi="Arial"/>
          <w:color w:val="1F2430"/>
          <w:sz w:val="19"/>
          <w:szCs w:val="19"/>
        </w:rPr>
        <w:t xml:space="preserve">Electrical power at each installed location, at the Facility's cost.</w:t>
      </w:r>
    </w:p>
    <w:p>
      <w:pPr>
        <w:spacing w:after="60" w:before="0" w:line="264"/>
        <w:ind w:left="700" w:hanging="200"/>
      </w:pPr>
      <w:r>
        <w:rPr>
          <w:rFonts w:ascii="Arial" w:cs="Arial" w:eastAsia="Arial" w:hAnsi="Arial"/>
          <w:color w:val="9482FF"/>
          <w:sz w:val="19"/>
          <w:szCs w:val="19"/>
        </w:rPr>
        <w:t xml:space="preserve">•  </w:t>
      </w:r>
      <w:r>
        <w:rPr>
          <w:rFonts w:ascii="Arial" w:cs="Arial" w:eastAsia="Arial" w:hAnsi="Arial"/>
          <w:color w:val="1F2430"/>
          <w:sz w:val="19"/>
          <w:szCs w:val="19"/>
        </w:rPr>
        <w:t xml:space="preserve">Network connectivity sufficient for the equipment to transmit, at the Facility's cost.</w:t>
      </w:r>
    </w:p>
    <w:p>
      <w:pPr>
        <w:spacing w:after="60" w:before="0" w:line="264"/>
        <w:ind w:left="700" w:hanging="200"/>
      </w:pPr>
      <w:r>
        <w:rPr>
          <w:rFonts w:ascii="Arial" w:cs="Arial" w:eastAsia="Arial" w:hAnsi="Arial"/>
          <w:color w:val="9482FF"/>
          <w:sz w:val="19"/>
          <w:szCs w:val="19"/>
        </w:rPr>
        <w:t xml:space="preserve">•  </w:t>
      </w:r>
      <w:r>
        <w:rPr>
          <w:rFonts w:ascii="Arial" w:cs="Arial" w:eastAsia="Arial" w:hAnsi="Arial"/>
          <w:color w:val="1F2430"/>
          <w:sz w:val="19"/>
          <w:szCs w:val="19"/>
        </w:rPr>
        <w:t xml:space="preserve">Safe and reasonable physical access for installation, mounting, calibration, service, and removal.</w:t>
      </w:r>
    </w:p>
    <w:p>
      <w:pPr>
        <w:spacing w:after="60" w:before="0" w:line="264"/>
        <w:ind w:left="700" w:hanging="200"/>
      </w:pPr>
      <w:r>
        <w:rPr>
          <w:rFonts w:ascii="Arial" w:cs="Arial" w:eastAsia="Arial" w:hAnsi="Arial"/>
          <w:color w:val="9482FF"/>
          <w:sz w:val="19"/>
          <w:szCs w:val="19"/>
        </w:rPr>
        <w:t xml:space="preserve">•  </w:t>
      </w:r>
      <w:r>
        <w:rPr>
          <w:rFonts w:ascii="Arial" w:cs="Arial" w:eastAsia="Arial" w:hAnsi="Arial"/>
          <w:color w:val="1F2430"/>
          <w:sz w:val="19"/>
          <w:szCs w:val="19"/>
        </w:rPr>
        <w:t xml:space="preserve">Not relocating, modifying, opening, disabling, or removing equipment without CareTech's prior agreement, except where immediate removal is necessary for resident safety, in which case the Facility will notify CareTech promptly.</w:t>
      </w:r>
    </w:p>
    <w:p>
      <w:pPr>
        <w:keepNext w:val="false"/>
        <w:spacing w:after="0" w:before="0" w:line="80"/>
      </w:pPr>
      <w:r>
        <w:rPr>
          <w:rFonts w:ascii="Arial" w:cs="Arial" w:eastAsia="Arial" w:hAnsi="Arial"/>
          <w:sz w:val="2"/>
          <w:szCs w:val="2"/>
        </w:rPr>
        <w:t xml:space="preserve"/>
      </w:r>
    </w:p>
    <w:p>
      <w:pPr>
        <w:keepNext w:val="false"/>
        <w:spacing w:after="100" w:before="0" w:line="268"/>
        <w:ind w:left="340" w:hanging="340"/>
      </w:pPr>
      <w:r>
        <w:rPr>
          <w:rFonts w:ascii="Arial" w:cs="Arial" w:eastAsia="Arial" w:hAnsi="Arial"/>
          <w:b/>
          <w:bCs/>
          <w:color w:val="6B4C9A"/>
          <w:sz w:val="19"/>
          <w:szCs w:val="19"/>
        </w:rPr>
        <w:t xml:space="preserve">4.4  </w:t>
      </w:r>
      <w:r>
        <w:rPr>
          <w:rFonts w:ascii="Arial" w:cs="Arial" w:eastAsia="Arial" w:hAnsi="Arial"/>
          <w:b/>
          <w:bCs/>
          <w:color w:val="1F2430"/>
          <w:sz w:val="19"/>
          <w:szCs w:val="19"/>
        </w:rPr>
        <w:t xml:space="preserve">Return of equipment. </w:t>
      </w:r>
      <w:r>
        <w:rPr>
          <w:rFonts w:ascii="Arial" w:cs="Arial" w:eastAsia="Arial" w:hAnsi="Arial"/>
          <w:color w:val="1F2430"/>
          <w:sz w:val="19"/>
          <w:szCs w:val="19"/>
        </w:rPr>
        <w:t xml:space="preserve">On conclusion of the pilot, the Facility will give CareTech reasonable access, during normal business hours and coordinated with the Facility, to remove all equipment. Equipment that is lost, stolen, or damaged beyond ordinary wear is chargeable to the Facility at documented replacement cost. CareTech will provide an itemized statement, and the Parties will discuss any item in good faith before any amount becomes payable.</w:t>
      </w:r>
    </w:p>
    <w:p>
      <w:pPr>
        <w:keepNext w:val="false"/>
        <w:spacing w:after="100" w:before="0" w:line="268"/>
        <w:ind w:left="340" w:hanging="340"/>
      </w:pPr>
      <w:r>
        <w:rPr>
          <w:rFonts w:ascii="Arial" w:cs="Arial" w:eastAsia="Arial" w:hAnsi="Arial"/>
          <w:b/>
          <w:bCs/>
          <w:color w:val="6B4C9A"/>
          <w:sz w:val="19"/>
          <w:szCs w:val="19"/>
        </w:rPr>
        <w:t xml:space="preserve">4.5  </w:t>
      </w:r>
      <w:r>
        <w:rPr>
          <w:rFonts w:ascii="Arial" w:cs="Arial" w:eastAsia="Arial" w:hAnsi="Arial"/>
          <w:b/>
          <w:bCs/>
          <w:color w:val="1F2430"/>
          <w:sz w:val="19"/>
          <w:szCs w:val="19"/>
        </w:rPr>
        <w:t xml:space="preserve">Each Party bears its own internal costs. </w:t>
      </w:r>
      <w:r>
        <w:rPr>
          <w:rFonts w:ascii="Arial" w:cs="Arial" w:eastAsia="Arial" w:hAnsi="Arial"/>
          <w:color w:val="1F2430"/>
          <w:sz w:val="19"/>
          <w:szCs w:val="19"/>
        </w:rPr>
        <w:t xml:space="preserve">Staff time, internal information technology effort, and administrative time are not reimbursed by either Party.</w:t>
      </w:r>
    </w:p>
    <w:p>
      <w:pPr>
        <w:keepNext w:val="false"/>
        <w:spacing w:after="0" w:before="0" w:line="120"/>
      </w:pPr>
      <w:r>
        <w:rPr>
          <w:rFonts w:ascii="Arial" w:cs="Arial" w:eastAsia="Arial" w:hAnsi="Arial"/>
          <w:sz w:val="2"/>
          <w:szCs w:val="2"/>
        </w:rPr>
        <w:t xml:space="preserve"/>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rPr>
          <w:cantSplit/>
        </w:trPr>
        <w:tc>
          <w:tcPr>
            <w:tcW w:type="dxa" w:w="10080"/>
            <w:tcBorders>
              <w:top w:val="single" w:color="6B4C9A" w:sz="2"/>
              <w:left w:val="single" w:color="6B4C9A" w:sz="18"/>
              <w:bottom w:val="single" w:color="6B4C9A" w:sz="2"/>
              <w:right w:val="single" w:color="6B4C9A" w:sz="2"/>
            </w:tcBorders>
            <w:shd w:fill="F6F4FA" w:color="auto" w:val="clear"/>
            <w:tcMar>
              <w:top w:type="dxa" w:w="140"/>
              <w:left w:type="dxa" w:w="170"/>
              <w:bottom w:type="dxa" w:w="140"/>
              <w:right w:type="dxa" w:w="170"/>
            </w:tcMar>
          </w:tcPr>
          <w:p>
            <w:pPr>
              <w:keepNext/>
              <w:spacing w:after="60" w:before="0"/>
            </w:pPr>
            <w:r>
              <w:rPr>
                <w:rFonts w:ascii="Arial" w:cs="Arial" w:eastAsia="Arial" w:hAnsi="Arial"/>
                <w:b/>
                <w:bCs/>
                <w:color w:val="6B4C9A"/>
                <w:sz w:val="19"/>
                <w:szCs w:val="19"/>
              </w:rPr>
              <w:t xml:space="preserve">Plain reading of Article 4</w:t>
            </w:r>
          </w:p>
          <w:p>
            <w:pPr>
              <w:spacing w:after="0" w:before="0" w:line="264"/>
            </w:pPr>
            <w:r>
              <w:rPr>
                <w:rFonts w:ascii="Arial" w:cs="Arial" w:eastAsia="Arial" w:hAnsi="Arial"/>
                <w:color w:val="1F2430"/>
                <w:sz w:val="18"/>
                <w:szCs w:val="18"/>
              </w:rPr>
              <w:t xml:space="preserve">The equipment is free. The responsibility for it while it sits in your building is yours. Nothing is billed to the facility during the pilot.</w:t>
            </w:r>
          </w:p>
        </w:tc>
      </w:tr>
    </w:tbl>
    <w:p>
      <w:pPr>
        <w:keepNext/>
        <w:pBdr>
          <w:bottom w:val="single" w:color="DFDAEC" w:sz="6" w:space="4"/>
        </w:pBdr>
        <w:spacing w:after="100" w:before="260"/>
      </w:pPr>
      <w:r>
        <w:rPr>
          <w:rFonts w:ascii="Arial" w:cs="Arial" w:eastAsia="Arial" w:hAnsi="Arial"/>
          <w:b/>
          <w:bCs/>
          <w:color w:val="6B4C9A"/>
          <w:sz w:val="23"/>
          <w:szCs w:val="23"/>
        </w:rPr>
        <w:t xml:space="preserve">Article 5.  What CareTech Provides</w:t>
      </w:r>
    </w:p>
    <w:p>
      <w:pPr>
        <w:keepNext/>
        <w:spacing w:after="0" w:before="0" w:line="60"/>
      </w:pPr>
      <w:r>
        <w:rPr>
          <w:rFonts w:ascii="Arial" w:cs="Arial" w:eastAsia="Arial" w:hAnsi="Arial"/>
          <w:sz w:val="2"/>
          <w:szCs w:val="2"/>
        </w:rPr>
        <w:t xml:space="preserve"/>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600"/>
        <w:gridCol w:w="6480"/>
      </w:tblGrid>
      <w:tr>
        <w:trPr>
          <w:cantSplit/>
          <w:tblHeader/>
        </w:trPr>
        <w:tc>
          <w:tcPr>
            <w:tcW w:type="dxa" w:w="3600"/>
            <w:tcBorders>
              <w:top w:val="single" w:color="6B4C9A" w:sz="1"/>
              <w:left w:val="single" w:color="6B4C9A" w:sz="1"/>
              <w:bottom w:val="single" w:color="6B4C9A" w:sz="1"/>
              <w:right w:val="single" w:color="6B4C9A" w:sz="1"/>
            </w:tcBorders>
            <w:shd w:fill="6B4C9A" w:color="auto" w:val="clear"/>
            <w:tcMar>
              <w:top w:type="dxa" w:w="90"/>
              <w:left w:type="dxa" w:w="130"/>
              <w:bottom w:type="dxa" w:w="90"/>
              <w:right w:type="dxa" w:w="130"/>
            </w:tcMar>
            <w:vAlign w:val="center"/>
          </w:tcPr>
          <w:p>
            <w:pPr>
              <w:spacing w:after="0" w:before="0" w:line="250"/>
            </w:pPr>
            <w:r>
              <w:rPr>
                <w:rFonts w:ascii="Arial" w:cs="Arial" w:eastAsia="Arial" w:hAnsi="Arial"/>
                <w:b/>
                <w:bCs/>
                <w:i w:val="false"/>
                <w:iCs w:val="false"/>
                <w:color w:val="FFFFFF"/>
                <w:sz w:val="18"/>
                <w:szCs w:val="18"/>
              </w:rPr>
              <w:t xml:space="preserve">CareTech provides</w:t>
            </w:r>
          </w:p>
        </w:tc>
        <w:tc>
          <w:tcPr>
            <w:tcW w:type="dxa" w:w="6480"/>
            <w:tcBorders>
              <w:top w:val="single" w:color="6B4C9A" w:sz="1"/>
              <w:left w:val="single" w:color="6B4C9A" w:sz="1"/>
              <w:bottom w:val="single" w:color="6B4C9A" w:sz="1"/>
              <w:right w:val="single" w:color="6B4C9A" w:sz="1"/>
            </w:tcBorders>
            <w:shd w:fill="6B4C9A" w:color="auto" w:val="clear"/>
            <w:tcMar>
              <w:top w:type="dxa" w:w="90"/>
              <w:left w:type="dxa" w:w="130"/>
              <w:bottom w:type="dxa" w:w="90"/>
              <w:right w:type="dxa" w:w="130"/>
            </w:tcMar>
            <w:vAlign w:val="center"/>
          </w:tcPr>
          <w:p>
            <w:pPr>
              <w:spacing w:after="0" w:before="0" w:line="250"/>
            </w:pPr>
            <w:r>
              <w:rPr>
                <w:rFonts w:ascii="Arial" w:cs="Arial" w:eastAsia="Arial" w:hAnsi="Arial"/>
                <w:b/>
                <w:bCs/>
                <w:i w:val="false"/>
                <w:iCs w:val="false"/>
                <w:color w:val="FFFFFF"/>
                <w:sz w:val="18"/>
                <w:szCs w:val="18"/>
              </w:rPr>
              <w:t xml:space="preserve">Detail</w:t>
            </w:r>
          </w:p>
        </w:tc>
      </w:tr>
      <w:tr>
        <w:trPr>
          <w:cantSplit/>
        </w:trPr>
        <w:tc>
          <w:tcPr>
            <w:tcW w:type="dxa" w:w="3600"/>
            <w:tcBorders>
              <w:top w:val="single" w:color="DFDAEC" w:sz="1"/>
              <w:left w:val="single" w:color="DFDAEC" w:sz="1"/>
              <w:bottom w:val="single" w:color="DFDAEC" w:sz="1"/>
              <w:right w:val="single" w:color="DFDAEC" w:sz="1"/>
            </w:tcBorders>
            <w:shd w:fill="FFFFFF" w:color="auto" w:val="clear"/>
            <w:tcMar>
              <w:top w:type="dxa" w:w="90"/>
              <w:left w:type="dxa" w:w="130"/>
              <w:bottom w:type="dxa" w:w="90"/>
              <w:right w:type="dxa" w:w="130"/>
            </w:tcMar>
            <w:vAlign w:val="center"/>
          </w:tcPr>
          <w:p>
            <w:pPr>
              <w:spacing w:after="0" w:before="0" w:line="250"/>
            </w:pPr>
            <w:r>
              <w:rPr>
                <w:rFonts w:ascii="Arial" w:cs="Arial" w:eastAsia="Arial" w:hAnsi="Arial"/>
                <w:b w:val="false"/>
                <w:bCs w:val="false"/>
                <w:i w:val="false"/>
                <w:iCs w:val="false"/>
                <w:color w:val="1F2430"/>
                <w:sz w:val="18"/>
                <w:szCs w:val="18"/>
              </w:rPr>
              <w:t xml:space="preserve">Installation and configuration</w:t>
            </w:r>
          </w:p>
        </w:tc>
        <w:tc>
          <w:tcPr>
            <w:tcW w:type="dxa" w:w="6480"/>
            <w:tcBorders>
              <w:top w:val="single" w:color="DFDAEC" w:sz="1"/>
              <w:left w:val="single" w:color="DFDAEC" w:sz="1"/>
              <w:bottom w:val="single" w:color="DFDAEC" w:sz="1"/>
              <w:right w:val="single" w:color="DFDAEC" w:sz="1"/>
            </w:tcBorders>
            <w:shd w:fill="FFFFFF" w:color="auto" w:val="clear"/>
            <w:tcMar>
              <w:top w:type="dxa" w:w="90"/>
              <w:left w:type="dxa" w:w="130"/>
              <w:bottom w:type="dxa" w:w="90"/>
              <w:right w:type="dxa" w:w="130"/>
            </w:tcMar>
            <w:vAlign w:val="center"/>
          </w:tcPr>
          <w:p>
            <w:pPr>
              <w:spacing w:after="0" w:before="0" w:line="250"/>
            </w:pPr>
            <w:r>
              <w:rPr>
                <w:rFonts w:ascii="Arial" w:cs="Arial" w:eastAsia="Arial" w:hAnsi="Arial"/>
                <w:b w:val="false"/>
                <w:bCs w:val="false"/>
                <w:i w:val="false"/>
                <w:iCs w:val="false"/>
                <w:color w:val="1F2430"/>
                <w:sz w:val="18"/>
                <w:szCs w:val="18"/>
              </w:rPr>
              <w:t xml:space="preserve">Equipment installation, calibration, and configuration in the rooms within pilot scope.</w:t>
            </w:r>
          </w:p>
        </w:tc>
      </w:tr>
      <w:tr>
        <w:trPr>
          <w:cantSplit/>
        </w:trPr>
        <w:tc>
          <w:tcPr>
            <w:tcW w:type="dxa" w:w="3600"/>
            <w:tcBorders>
              <w:top w:val="single" w:color="DFDAEC" w:sz="1"/>
              <w:left w:val="single" w:color="DFDAEC" w:sz="1"/>
              <w:bottom w:val="single" w:color="DFDAEC" w:sz="1"/>
              <w:right w:val="single" w:color="DFDAEC" w:sz="1"/>
            </w:tcBorders>
            <w:shd w:fill="F6F4FA" w:color="auto" w:val="clear"/>
            <w:tcMar>
              <w:top w:type="dxa" w:w="90"/>
              <w:left w:type="dxa" w:w="130"/>
              <w:bottom w:type="dxa" w:w="90"/>
              <w:right w:type="dxa" w:w="130"/>
            </w:tcMar>
            <w:vAlign w:val="center"/>
          </w:tcPr>
          <w:p>
            <w:pPr>
              <w:spacing w:after="0" w:before="0" w:line="250"/>
            </w:pPr>
            <w:r>
              <w:rPr>
                <w:rFonts w:ascii="Arial" w:cs="Arial" w:eastAsia="Arial" w:hAnsi="Arial"/>
                <w:b w:val="false"/>
                <w:bCs w:val="false"/>
                <w:i w:val="false"/>
                <w:iCs w:val="false"/>
                <w:color w:val="1F2430"/>
                <w:sz w:val="18"/>
                <w:szCs w:val="18"/>
              </w:rPr>
              <w:t xml:space="preserve">System connection</w:t>
            </w:r>
          </w:p>
        </w:tc>
        <w:tc>
          <w:tcPr>
            <w:tcW w:type="dxa" w:w="6480"/>
            <w:tcBorders>
              <w:top w:val="single" w:color="DFDAEC" w:sz="1"/>
              <w:left w:val="single" w:color="DFDAEC" w:sz="1"/>
              <w:bottom w:val="single" w:color="DFDAEC" w:sz="1"/>
              <w:right w:val="single" w:color="DFDAEC" w:sz="1"/>
            </w:tcBorders>
            <w:shd w:fill="F6F4FA" w:color="auto" w:val="clear"/>
            <w:tcMar>
              <w:top w:type="dxa" w:w="90"/>
              <w:left w:type="dxa" w:w="130"/>
              <w:bottom w:type="dxa" w:w="90"/>
              <w:right w:type="dxa" w:w="130"/>
            </w:tcMar>
            <w:vAlign w:val="center"/>
          </w:tcPr>
          <w:p>
            <w:pPr>
              <w:spacing w:after="0" w:before="0" w:line="250"/>
            </w:pPr>
            <w:r>
              <w:rPr>
                <w:rFonts w:ascii="Arial" w:cs="Arial" w:eastAsia="Arial" w:hAnsi="Arial"/>
                <w:b w:val="false"/>
                <w:bCs w:val="false"/>
                <w:i w:val="false"/>
                <w:iCs w:val="false"/>
                <w:color w:val="1F2430"/>
                <w:sz w:val="18"/>
                <w:szCs w:val="18"/>
              </w:rPr>
              <w:t xml:space="preserve">Connection to the Facility's existing clinical documentation systems, and validation of the data feed.</w:t>
            </w:r>
          </w:p>
        </w:tc>
      </w:tr>
      <w:tr>
        <w:trPr>
          <w:cantSplit/>
        </w:trPr>
        <w:tc>
          <w:tcPr>
            <w:tcW w:type="dxa" w:w="3600"/>
            <w:tcBorders>
              <w:top w:val="single" w:color="DFDAEC" w:sz="1"/>
              <w:left w:val="single" w:color="DFDAEC" w:sz="1"/>
              <w:bottom w:val="single" w:color="DFDAEC" w:sz="1"/>
              <w:right w:val="single" w:color="DFDAEC" w:sz="1"/>
            </w:tcBorders>
            <w:shd w:fill="FFFFFF" w:color="auto" w:val="clear"/>
            <w:tcMar>
              <w:top w:type="dxa" w:w="90"/>
              <w:left w:type="dxa" w:w="130"/>
              <w:bottom w:type="dxa" w:w="90"/>
              <w:right w:type="dxa" w:w="130"/>
            </w:tcMar>
            <w:vAlign w:val="center"/>
          </w:tcPr>
          <w:p>
            <w:pPr>
              <w:spacing w:after="0" w:before="0" w:line="250"/>
            </w:pPr>
            <w:r>
              <w:rPr>
                <w:rFonts w:ascii="Arial" w:cs="Arial" w:eastAsia="Arial" w:hAnsi="Arial"/>
                <w:b w:val="false"/>
                <w:bCs w:val="false"/>
                <w:i w:val="false"/>
                <w:iCs w:val="false"/>
                <w:color w:val="1F2430"/>
                <w:sz w:val="18"/>
                <w:szCs w:val="18"/>
              </w:rPr>
              <w:t xml:space="preserve">Staff orientation</w:t>
            </w:r>
          </w:p>
        </w:tc>
        <w:tc>
          <w:tcPr>
            <w:tcW w:type="dxa" w:w="6480"/>
            <w:tcBorders>
              <w:top w:val="single" w:color="DFDAEC" w:sz="1"/>
              <w:left w:val="single" w:color="DFDAEC" w:sz="1"/>
              <w:bottom w:val="single" w:color="DFDAEC" w:sz="1"/>
              <w:right w:val="single" w:color="DFDAEC" w:sz="1"/>
            </w:tcBorders>
            <w:shd w:fill="FFFFFF" w:color="auto" w:val="clear"/>
            <w:tcMar>
              <w:top w:type="dxa" w:w="90"/>
              <w:left w:type="dxa" w:w="130"/>
              <w:bottom w:type="dxa" w:w="90"/>
              <w:right w:type="dxa" w:w="130"/>
            </w:tcMar>
            <w:vAlign w:val="center"/>
          </w:tcPr>
          <w:p>
            <w:pPr>
              <w:spacing w:after="0" w:before="0" w:line="250"/>
            </w:pPr>
            <w:r>
              <w:rPr>
                <w:rFonts w:ascii="Arial" w:cs="Arial" w:eastAsia="Arial" w:hAnsi="Arial"/>
                <w:b w:val="false"/>
                <w:bCs w:val="false"/>
                <w:i w:val="false"/>
                <w:iCs w:val="false"/>
                <w:color w:val="1F2430"/>
                <w:sz w:val="18"/>
                <w:szCs w:val="18"/>
              </w:rPr>
              <w:t xml:space="preserve">Orientation delivered on the Facility's shift schedule, at no cost, including repeat sessions for new or missed staff.</w:t>
            </w:r>
          </w:p>
        </w:tc>
      </w:tr>
      <w:tr>
        <w:trPr>
          <w:cantSplit/>
        </w:trPr>
        <w:tc>
          <w:tcPr>
            <w:tcW w:type="dxa" w:w="3600"/>
            <w:tcBorders>
              <w:top w:val="single" w:color="DFDAEC" w:sz="1"/>
              <w:left w:val="single" w:color="DFDAEC" w:sz="1"/>
              <w:bottom w:val="single" w:color="DFDAEC" w:sz="1"/>
              <w:right w:val="single" w:color="DFDAEC" w:sz="1"/>
            </w:tcBorders>
            <w:shd w:fill="F6F4FA" w:color="auto" w:val="clear"/>
            <w:tcMar>
              <w:top w:type="dxa" w:w="90"/>
              <w:left w:type="dxa" w:w="130"/>
              <w:bottom w:type="dxa" w:w="90"/>
              <w:right w:type="dxa" w:w="130"/>
            </w:tcMar>
            <w:vAlign w:val="center"/>
          </w:tcPr>
          <w:p>
            <w:pPr>
              <w:spacing w:after="0" w:before="0" w:line="250"/>
            </w:pPr>
            <w:r>
              <w:rPr>
                <w:rFonts w:ascii="Arial" w:cs="Arial" w:eastAsia="Arial" w:hAnsi="Arial"/>
                <w:b w:val="false"/>
                <w:bCs w:val="false"/>
                <w:i w:val="false"/>
                <w:iCs w:val="false"/>
                <w:color w:val="1F2430"/>
                <w:sz w:val="18"/>
                <w:szCs w:val="18"/>
              </w:rPr>
              <w:t xml:space="preserve">Platform access</w:t>
            </w:r>
          </w:p>
        </w:tc>
        <w:tc>
          <w:tcPr>
            <w:tcW w:type="dxa" w:w="6480"/>
            <w:tcBorders>
              <w:top w:val="single" w:color="DFDAEC" w:sz="1"/>
              <w:left w:val="single" w:color="DFDAEC" w:sz="1"/>
              <w:bottom w:val="single" w:color="DFDAEC" w:sz="1"/>
              <w:right w:val="single" w:color="DFDAEC" w:sz="1"/>
            </w:tcBorders>
            <w:shd w:fill="F6F4FA" w:color="auto" w:val="clear"/>
            <w:tcMar>
              <w:top w:type="dxa" w:w="90"/>
              <w:left w:type="dxa" w:w="130"/>
              <w:bottom w:type="dxa" w:w="90"/>
              <w:right w:type="dxa" w:w="130"/>
            </w:tcMar>
            <w:vAlign w:val="center"/>
          </w:tcPr>
          <w:p>
            <w:pPr>
              <w:spacing w:after="0" w:before="0" w:line="250"/>
            </w:pPr>
            <w:r>
              <w:rPr>
                <w:rFonts w:ascii="Arial" w:cs="Arial" w:eastAsia="Arial" w:hAnsi="Arial"/>
                <w:b w:val="false"/>
                <w:bCs w:val="false"/>
                <w:i w:val="false"/>
                <w:iCs w:val="false"/>
                <w:color w:val="1F2430"/>
                <w:sz w:val="18"/>
                <w:szCs w:val="18"/>
              </w:rPr>
              <w:t xml:space="preserve">Access to the SafeLinQ dashboard for named Facility users, at the views appropriate to their role.</w:t>
            </w:r>
          </w:p>
        </w:tc>
      </w:tr>
      <w:tr>
        <w:trPr>
          <w:cantSplit/>
        </w:trPr>
        <w:tc>
          <w:tcPr>
            <w:tcW w:type="dxa" w:w="3600"/>
            <w:tcBorders>
              <w:top w:val="single" w:color="DFDAEC" w:sz="1"/>
              <w:left w:val="single" w:color="DFDAEC" w:sz="1"/>
              <w:bottom w:val="single" w:color="DFDAEC" w:sz="1"/>
              <w:right w:val="single" w:color="DFDAEC" w:sz="1"/>
            </w:tcBorders>
            <w:shd w:fill="FFFFFF" w:color="auto" w:val="clear"/>
            <w:tcMar>
              <w:top w:type="dxa" w:w="90"/>
              <w:left w:type="dxa" w:w="130"/>
              <w:bottom w:type="dxa" w:w="90"/>
              <w:right w:type="dxa" w:w="130"/>
            </w:tcMar>
            <w:vAlign w:val="center"/>
          </w:tcPr>
          <w:p>
            <w:pPr>
              <w:spacing w:after="0" w:before="0" w:line="250"/>
            </w:pPr>
            <w:r>
              <w:rPr>
                <w:rFonts w:ascii="Arial" w:cs="Arial" w:eastAsia="Arial" w:hAnsi="Arial"/>
                <w:b w:val="false"/>
                <w:bCs w:val="false"/>
                <w:i w:val="false"/>
                <w:iCs w:val="false"/>
                <w:color w:val="1F2430"/>
                <w:sz w:val="18"/>
                <w:szCs w:val="18"/>
              </w:rPr>
              <w:t xml:space="preserve">Digital Forms Library</w:t>
            </w:r>
          </w:p>
        </w:tc>
        <w:tc>
          <w:tcPr>
            <w:tcW w:type="dxa" w:w="6480"/>
            <w:tcBorders>
              <w:top w:val="single" w:color="DFDAEC" w:sz="1"/>
              <w:left w:val="single" w:color="DFDAEC" w:sz="1"/>
              <w:bottom w:val="single" w:color="DFDAEC" w:sz="1"/>
              <w:right w:val="single" w:color="DFDAEC" w:sz="1"/>
            </w:tcBorders>
            <w:shd w:fill="FFFFFF" w:color="auto" w:val="clear"/>
            <w:tcMar>
              <w:top w:type="dxa" w:w="90"/>
              <w:left w:type="dxa" w:w="130"/>
              <w:bottom w:type="dxa" w:w="90"/>
              <w:right w:type="dxa" w:w="130"/>
            </w:tcMar>
            <w:vAlign w:val="center"/>
          </w:tcPr>
          <w:p>
            <w:pPr>
              <w:spacing w:after="0" w:before="0" w:line="250"/>
            </w:pPr>
            <w:r>
              <w:rPr>
                <w:rFonts w:ascii="Arial" w:cs="Arial" w:eastAsia="Arial" w:hAnsi="Arial"/>
                <w:b w:val="false"/>
                <w:bCs w:val="false"/>
                <w:i w:val="false"/>
                <w:iCs w:val="false"/>
                <w:color w:val="1F2430"/>
                <w:sz w:val="18"/>
                <w:szCs w:val="18"/>
              </w:rPr>
              <w:t xml:space="preserve">Access at the scope stated in Schedule A.</w:t>
            </w:r>
          </w:p>
        </w:tc>
      </w:tr>
      <w:tr>
        <w:trPr>
          <w:cantSplit/>
        </w:trPr>
        <w:tc>
          <w:tcPr>
            <w:tcW w:type="dxa" w:w="3600"/>
            <w:tcBorders>
              <w:top w:val="single" w:color="DFDAEC" w:sz="1"/>
              <w:left w:val="single" w:color="DFDAEC" w:sz="1"/>
              <w:bottom w:val="single" w:color="DFDAEC" w:sz="1"/>
              <w:right w:val="single" w:color="DFDAEC" w:sz="1"/>
            </w:tcBorders>
            <w:shd w:fill="F6F4FA" w:color="auto" w:val="clear"/>
            <w:tcMar>
              <w:top w:type="dxa" w:w="90"/>
              <w:left w:type="dxa" w:w="130"/>
              <w:bottom w:type="dxa" w:w="90"/>
              <w:right w:type="dxa" w:w="130"/>
            </w:tcMar>
            <w:vAlign w:val="center"/>
          </w:tcPr>
          <w:p>
            <w:pPr>
              <w:spacing w:after="0" w:before="0" w:line="250"/>
            </w:pPr>
            <w:r>
              <w:rPr>
                <w:rFonts w:ascii="Arial" w:cs="Arial" w:eastAsia="Arial" w:hAnsi="Arial"/>
                <w:b w:val="false"/>
                <w:bCs w:val="false"/>
                <w:i w:val="false"/>
                <w:iCs w:val="false"/>
                <w:color w:val="1F2430"/>
                <w:sz w:val="18"/>
                <w:szCs w:val="18"/>
              </w:rPr>
              <w:t xml:space="preserve">Technical support</w:t>
            </w:r>
          </w:p>
        </w:tc>
        <w:tc>
          <w:tcPr>
            <w:tcW w:type="dxa" w:w="6480"/>
            <w:tcBorders>
              <w:top w:val="single" w:color="DFDAEC" w:sz="1"/>
              <w:left w:val="single" w:color="DFDAEC" w:sz="1"/>
              <w:bottom w:val="single" w:color="DFDAEC" w:sz="1"/>
              <w:right w:val="single" w:color="DFDAEC" w:sz="1"/>
            </w:tcBorders>
            <w:shd w:fill="F6F4FA" w:color="auto" w:val="clear"/>
            <w:tcMar>
              <w:top w:type="dxa" w:w="90"/>
              <w:left w:type="dxa" w:w="130"/>
              <w:bottom w:type="dxa" w:w="90"/>
              <w:right w:type="dxa" w:w="130"/>
            </w:tcMar>
            <w:vAlign w:val="center"/>
          </w:tcPr>
          <w:p>
            <w:pPr>
              <w:spacing w:after="0" w:before="0" w:line="250"/>
            </w:pPr>
            <w:r>
              <w:rPr>
                <w:rFonts w:ascii="Arial" w:cs="Arial" w:eastAsia="Arial" w:hAnsi="Arial"/>
                <w:b w:val="false"/>
                <w:bCs w:val="false"/>
                <w:i w:val="false"/>
                <w:iCs w:val="false"/>
                <w:color w:val="1F2430"/>
                <w:sz w:val="18"/>
                <w:szCs w:val="18"/>
              </w:rPr>
              <w:t xml:space="preserve">A named CareTech contact and a defined escalation path for equipment and platform issues.</w:t>
            </w:r>
          </w:p>
        </w:tc>
      </w:tr>
      <w:tr>
        <w:trPr>
          <w:cantSplit/>
        </w:trPr>
        <w:tc>
          <w:tcPr>
            <w:tcW w:type="dxa" w:w="3600"/>
            <w:tcBorders>
              <w:top w:val="single" w:color="DFDAEC" w:sz="1"/>
              <w:left w:val="single" w:color="DFDAEC" w:sz="1"/>
              <w:bottom w:val="single" w:color="DFDAEC" w:sz="1"/>
              <w:right w:val="single" w:color="DFDAEC" w:sz="1"/>
            </w:tcBorders>
            <w:shd w:fill="FFFFFF" w:color="auto" w:val="clear"/>
            <w:tcMar>
              <w:top w:type="dxa" w:w="90"/>
              <w:left w:type="dxa" w:w="130"/>
              <w:bottom w:type="dxa" w:w="90"/>
              <w:right w:type="dxa" w:w="130"/>
            </w:tcMar>
            <w:vAlign w:val="center"/>
          </w:tcPr>
          <w:p>
            <w:pPr>
              <w:spacing w:after="0" w:before="0" w:line="250"/>
            </w:pPr>
            <w:r>
              <w:rPr>
                <w:rFonts w:ascii="Arial" w:cs="Arial" w:eastAsia="Arial" w:hAnsi="Arial"/>
                <w:b w:val="false"/>
                <w:bCs w:val="false"/>
                <w:i w:val="false"/>
                <w:iCs w:val="false"/>
                <w:color w:val="1F2430"/>
                <w:sz w:val="18"/>
                <w:szCs w:val="18"/>
              </w:rPr>
              <w:t xml:space="preserve">Review sessions</w:t>
            </w:r>
          </w:p>
        </w:tc>
        <w:tc>
          <w:tcPr>
            <w:tcW w:type="dxa" w:w="6480"/>
            <w:tcBorders>
              <w:top w:val="single" w:color="DFDAEC" w:sz="1"/>
              <w:left w:val="single" w:color="DFDAEC" w:sz="1"/>
              <w:bottom w:val="single" w:color="DFDAEC" w:sz="1"/>
              <w:right w:val="single" w:color="DFDAEC" w:sz="1"/>
            </w:tcBorders>
            <w:shd w:fill="FFFFFF" w:color="auto" w:val="clear"/>
            <w:tcMar>
              <w:top w:type="dxa" w:w="90"/>
              <w:left w:type="dxa" w:w="130"/>
              <w:bottom w:type="dxa" w:w="90"/>
              <w:right w:type="dxa" w:w="130"/>
            </w:tcMar>
            <w:vAlign w:val="center"/>
          </w:tcPr>
          <w:p>
            <w:pPr>
              <w:spacing w:after="0" w:before="0" w:line="250"/>
            </w:pPr>
            <w:r>
              <w:rPr>
                <w:rFonts w:ascii="Arial" w:cs="Arial" w:eastAsia="Arial" w:hAnsi="Arial"/>
                <w:b w:val="false"/>
                <w:bCs w:val="false"/>
                <w:i w:val="false"/>
                <w:iCs w:val="false"/>
                <w:color w:val="1F2430"/>
                <w:sz w:val="18"/>
                <w:szCs w:val="18"/>
              </w:rPr>
              <w:t xml:space="preserve">Sessions at the cadence the Facility sets, covering what the platform observed and how it fit the floor workflow.</w:t>
            </w:r>
          </w:p>
        </w:tc>
      </w:tr>
      <w:tr>
        <w:trPr>
          <w:cantSplit/>
        </w:trPr>
        <w:tc>
          <w:tcPr>
            <w:tcW w:type="dxa" w:w="3600"/>
            <w:tcBorders>
              <w:top w:val="single" w:color="DFDAEC" w:sz="1"/>
              <w:left w:val="single" w:color="DFDAEC" w:sz="1"/>
              <w:bottom w:val="single" w:color="DFDAEC" w:sz="1"/>
              <w:right w:val="single" w:color="DFDAEC" w:sz="1"/>
            </w:tcBorders>
            <w:shd w:fill="F6F4FA" w:color="auto" w:val="clear"/>
            <w:tcMar>
              <w:top w:type="dxa" w:w="90"/>
              <w:left w:type="dxa" w:w="130"/>
              <w:bottom w:type="dxa" w:w="90"/>
              <w:right w:type="dxa" w:w="130"/>
            </w:tcMar>
            <w:vAlign w:val="center"/>
          </w:tcPr>
          <w:p>
            <w:pPr>
              <w:spacing w:after="0" w:before="0" w:line="250"/>
            </w:pPr>
            <w:r>
              <w:rPr>
                <w:rFonts w:ascii="Arial" w:cs="Arial" w:eastAsia="Arial" w:hAnsi="Arial"/>
                <w:b w:val="false"/>
                <w:bCs w:val="false"/>
                <w:i w:val="false"/>
                <w:iCs w:val="false"/>
                <w:color w:val="1F2430"/>
                <w:sz w:val="18"/>
                <w:szCs w:val="18"/>
              </w:rPr>
              <w:t xml:space="preserve">Data handling</w:t>
            </w:r>
          </w:p>
        </w:tc>
        <w:tc>
          <w:tcPr>
            <w:tcW w:type="dxa" w:w="6480"/>
            <w:tcBorders>
              <w:top w:val="single" w:color="DFDAEC" w:sz="1"/>
              <w:left w:val="single" w:color="DFDAEC" w:sz="1"/>
              <w:bottom w:val="single" w:color="DFDAEC" w:sz="1"/>
              <w:right w:val="single" w:color="DFDAEC" w:sz="1"/>
            </w:tcBorders>
            <w:shd w:fill="F6F4FA" w:color="auto" w:val="clear"/>
            <w:tcMar>
              <w:top w:type="dxa" w:w="90"/>
              <w:left w:type="dxa" w:w="130"/>
              <w:bottom w:type="dxa" w:w="90"/>
              <w:right w:type="dxa" w:w="130"/>
            </w:tcMar>
            <w:vAlign w:val="center"/>
          </w:tcPr>
          <w:p>
            <w:pPr>
              <w:spacing w:after="0" w:before="0" w:line="250"/>
            </w:pPr>
            <w:r>
              <w:rPr>
                <w:rFonts w:ascii="Arial" w:cs="Arial" w:eastAsia="Arial" w:hAnsi="Arial"/>
                <w:b w:val="false"/>
                <w:bCs w:val="false"/>
                <w:i w:val="false"/>
                <w:iCs w:val="false"/>
                <w:color w:val="1F2430"/>
                <w:sz w:val="18"/>
                <w:szCs w:val="18"/>
              </w:rPr>
              <w:t xml:space="preserve">Handling of Protected Health Information under the Business Associate Agreement referenced in Article 7.</w:t>
            </w:r>
          </w:p>
        </w:tc>
      </w:tr>
    </w:tbl>
    <w:p>
      <w:pPr>
        <w:keepNext/>
        <w:pBdr>
          <w:bottom w:val="single" w:color="DFDAEC" w:sz="6" w:space="4"/>
        </w:pBdr>
        <w:spacing w:after="100" w:before="260"/>
      </w:pPr>
      <w:r>
        <w:rPr>
          <w:rFonts w:ascii="Arial" w:cs="Arial" w:eastAsia="Arial" w:hAnsi="Arial"/>
          <w:b/>
          <w:bCs/>
          <w:color w:val="6B4C9A"/>
          <w:sz w:val="23"/>
          <w:szCs w:val="23"/>
        </w:rPr>
        <w:t xml:space="preserve">Article 6.  What the Facility Provides</w:t>
      </w:r>
    </w:p>
    <w:p>
      <w:pPr>
        <w:keepNext/>
        <w:spacing w:after="0" w:before="0" w:line="60"/>
      </w:pPr>
      <w:r>
        <w:rPr>
          <w:rFonts w:ascii="Arial" w:cs="Arial" w:eastAsia="Arial" w:hAnsi="Arial"/>
          <w:sz w:val="2"/>
          <w:szCs w:val="2"/>
        </w:rPr>
        <w:t xml:space="preserve"/>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600"/>
        <w:gridCol w:w="6480"/>
      </w:tblGrid>
      <w:tr>
        <w:trPr>
          <w:cantSplit/>
          <w:tblHeader/>
        </w:trPr>
        <w:tc>
          <w:tcPr>
            <w:tcW w:type="dxa" w:w="3600"/>
            <w:tcBorders>
              <w:top w:val="single" w:color="6B4C9A" w:sz="1"/>
              <w:left w:val="single" w:color="6B4C9A" w:sz="1"/>
              <w:bottom w:val="single" w:color="6B4C9A" w:sz="1"/>
              <w:right w:val="single" w:color="6B4C9A" w:sz="1"/>
            </w:tcBorders>
            <w:shd w:fill="6B4C9A" w:color="auto" w:val="clear"/>
            <w:tcMar>
              <w:top w:type="dxa" w:w="90"/>
              <w:left w:type="dxa" w:w="130"/>
              <w:bottom w:type="dxa" w:w="90"/>
              <w:right w:type="dxa" w:w="130"/>
            </w:tcMar>
            <w:vAlign w:val="center"/>
          </w:tcPr>
          <w:p>
            <w:pPr>
              <w:spacing w:after="0" w:before="0" w:line="250"/>
            </w:pPr>
            <w:r>
              <w:rPr>
                <w:rFonts w:ascii="Arial" w:cs="Arial" w:eastAsia="Arial" w:hAnsi="Arial"/>
                <w:b/>
                <w:bCs/>
                <w:i w:val="false"/>
                <w:iCs w:val="false"/>
                <w:color w:val="FFFFFF"/>
                <w:sz w:val="18"/>
                <w:szCs w:val="18"/>
              </w:rPr>
              <w:t xml:space="preserve">The Facility provides</w:t>
            </w:r>
          </w:p>
        </w:tc>
        <w:tc>
          <w:tcPr>
            <w:tcW w:type="dxa" w:w="6480"/>
            <w:tcBorders>
              <w:top w:val="single" w:color="6B4C9A" w:sz="1"/>
              <w:left w:val="single" w:color="6B4C9A" w:sz="1"/>
              <w:bottom w:val="single" w:color="6B4C9A" w:sz="1"/>
              <w:right w:val="single" w:color="6B4C9A" w:sz="1"/>
            </w:tcBorders>
            <w:shd w:fill="6B4C9A" w:color="auto" w:val="clear"/>
            <w:tcMar>
              <w:top w:type="dxa" w:w="90"/>
              <w:left w:type="dxa" w:w="130"/>
              <w:bottom w:type="dxa" w:w="90"/>
              <w:right w:type="dxa" w:w="130"/>
            </w:tcMar>
            <w:vAlign w:val="center"/>
          </w:tcPr>
          <w:p>
            <w:pPr>
              <w:spacing w:after="0" w:before="0" w:line="250"/>
            </w:pPr>
            <w:r>
              <w:rPr>
                <w:rFonts w:ascii="Arial" w:cs="Arial" w:eastAsia="Arial" w:hAnsi="Arial"/>
                <w:b/>
                <w:bCs/>
                <w:i w:val="false"/>
                <w:iCs w:val="false"/>
                <w:color w:val="FFFFFF"/>
                <w:sz w:val="18"/>
                <w:szCs w:val="18"/>
              </w:rPr>
              <w:t xml:space="preserve">Detail</w:t>
            </w:r>
          </w:p>
        </w:tc>
      </w:tr>
      <w:tr>
        <w:trPr>
          <w:cantSplit/>
        </w:trPr>
        <w:tc>
          <w:tcPr>
            <w:tcW w:type="dxa" w:w="3600"/>
            <w:tcBorders>
              <w:top w:val="single" w:color="DFDAEC" w:sz="1"/>
              <w:left w:val="single" w:color="DFDAEC" w:sz="1"/>
              <w:bottom w:val="single" w:color="DFDAEC" w:sz="1"/>
              <w:right w:val="single" w:color="DFDAEC" w:sz="1"/>
            </w:tcBorders>
            <w:shd w:fill="FFFFFF" w:color="auto" w:val="clear"/>
            <w:tcMar>
              <w:top w:type="dxa" w:w="90"/>
              <w:left w:type="dxa" w:w="130"/>
              <w:bottom w:type="dxa" w:w="90"/>
              <w:right w:type="dxa" w:w="130"/>
            </w:tcMar>
            <w:vAlign w:val="center"/>
          </w:tcPr>
          <w:p>
            <w:pPr>
              <w:spacing w:after="0" w:before="0" w:line="250"/>
            </w:pPr>
            <w:r>
              <w:rPr>
                <w:rFonts w:ascii="Arial" w:cs="Arial" w:eastAsia="Arial" w:hAnsi="Arial"/>
                <w:b w:val="false"/>
                <w:bCs w:val="false"/>
                <w:i w:val="false"/>
                <w:iCs w:val="false"/>
                <w:color w:val="1F2430"/>
                <w:sz w:val="18"/>
                <w:szCs w:val="18"/>
              </w:rPr>
              <w:t xml:space="preserve">A clinical point person</w:t>
            </w:r>
          </w:p>
        </w:tc>
        <w:tc>
          <w:tcPr>
            <w:tcW w:type="dxa" w:w="6480"/>
            <w:tcBorders>
              <w:top w:val="single" w:color="DFDAEC" w:sz="1"/>
              <w:left w:val="single" w:color="DFDAEC" w:sz="1"/>
              <w:bottom w:val="single" w:color="DFDAEC" w:sz="1"/>
              <w:right w:val="single" w:color="DFDAEC" w:sz="1"/>
            </w:tcBorders>
            <w:shd w:fill="FFFFFF" w:color="auto" w:val="clear"/>
            <w:tcMar>
              <w:top w:type="dxa" w:w="90"/>
              <w:left w:type="dxa" w:w="130"/>
              <w:bottom w:type="dxa" w:w="90"/>
              <w:right w:type="dxa" w:w="130"/>
            </w:tcMar>
            <w:vAlign w:val="center"/>
          </w:tcPr>
          <w:p>
            <w:pPr>
              <w:spacing w:after="0" w:before="0" w:line="250"/>
            </w:pPr>
            <w:r>
              <w:rPr>
                <w:rFonts w:ascii="Arial" w:cs="Arial" w:eastAsia="Arial" w:hAnsi="Arial"/>
                <w:b w:val="false"/>
                <w:bCs w:val="false"/>
                <w:i w:val="false"/>
                <w:iCs w:val="false"/>
                <w:color w:val="1F2430"/>
                <w:sz w:val="18"/>
                <w:szCs w:val="18"/>
              </w:rPr>
              <w:t xml:space="preserve">One named person on the pilot unit to whom the observation goes, plus a named alternate.</w:t>
            </w:r>
          </w:p>
        </w:tc>
      </w:tr>
      <w:tr>
        <w:trPr>
          <w:cantSplit/>
        </w:trPr>
        <w:tc>
          <w:tcPr>
            <w:tcW w:type="dxa" w:w="3600"/>
            <w:tcBorders>
              <w:top w:val="single" w:color="DFDAEC" w:sz="1"/>
              <w:left w:val="single" w:color="DFDAEC" w:sz="1"/>
              <w:bottom w:val="single" w:color="DFDAEC" w:sz="1"/>
              <w:right w:val="single" w:color="DFDAEC" w:sz="1"/>
            </w:tcBorders>
            <w:shd w:fill="F6F4FA" w:color="auto" w:val="clear"/>
            <w:tcMar>
              <w:top w:type="dxa" w:w="90"/>
              <w:left w:type="dxa" w:w="130"/>
              <w:bottom w:type="dxa" w:w="90"/>
              <w:right w:type="dxa" w:w="130"/>
            </w:tcMar>
            <w:vAlign w:val="center"/>
          </w:tcPr>
          <w:p>
            <w:pPr>
              <w:spacing w:after="0" w:before="0" w:line="250"/>
            </w:pPr>
            <w:r>
              <w:rPr>
                <w:rFonts w:ascii="Arial" w:cs="Arial" w:eastAsia="Arial" w:hAnsi="Arial"/>
                <w:b w:val="false"/>
                <w:bCs w:val="false"/>
                <w:i w:val="false"/>
                <w:iCs w:val="false"/>
                <w:color w:val="1F2430"/>
                <w:sz w:val="18"/>
                <w:szCs w:val="18"/>
              </w:rPr>
              <w:t xml:space="preserve">A technical contact</w:t>
            </w:r>
          </w:p>
        </w:tc>
        <w:tc>
          <w:tcPr>
            <w:tcW w:type="dxa" w:w="6480"/>
            <w:tcBorders>
              <w:top w:val="single" w:color="DFDAEC" w:sz="1"/>
              <w:left w:val="single" w:color="DFDAEC" w:sz="1"/>
              <w:bottom w:val="single" w:color="DFDAEC" w:sz="1"/>
              <w:right w:val="single" w:color="DFDAEC" w:sz="1"/>
            </w:tcBorders>
            <w:shd w:fill="F6F4FA" w:color="auto" w:val="clear"/>
            <w:tcMar>
              <w:top w:type="dxa" w:w="90"/>
              <w:left w:type="dxa" w:w="130"/>
              <w:bottom w:type="dxa" w:w="90"/>
              <w:right w:type="dxa" w:w="130"/>
            </w:tcMar>
            <w:vAlign w:val="center"/>
          </w:tcPr>
          <w:p>
            <w:pPr>
              <w:spacing w:after="0" w:before="0" w:line="250"/>
            </w:pPr>
            <w:r>
              <w:rPr>
                <w:rFonts w:ascii="Arial" w:cs="Arial" w:eastAsia="Arial" w:hAnsi="Arial"/>
                <w:b w:val="false"/>
                <w:bCs w:val="false"/>
                <w:i w:val="false"/>
                <w:iCs w:val="false"/>
                <w:color w:val="1F2430"/>
                <w:sz w:val="18"/>
                <w:szCs w:val="18"/>
              </w:rPr>
              <w:t xml:space="preserve">One named person to coordinate information technology access and connectivity.</w:t>
            </w:r>
          </w:p>
        </w:tc>
      </w:tr>
      <w:tr>
        <w:trPr>
          <w:cantSplit/>
        </w:trPr>
        <w:tc>
          <w:tcPr>
            <w:tcW w:type="dxa" w:w="3600"/>
            <w:tcBorders>
              <w:top w:val="single" w:color="DFDAEC" w:sz="1"/>
              <w:left w:val="single" w:color="DFDAEC" w:sz="1"/>
              <w:bottom w:val="single" w:color="DFDAEC" w:sz="1"/>
              <w:right w:val="single" w:color="DFDAEC" w:sz="1"/>
            </w:tcBorders>
            <w:shd w:fill="FFFFFF" w:color="auto" w:val="clear"/>
            <w:tcMar>
              <w:top w:type="dxa" w:w="90"/>
              <w:left w:type="dxa" w:w="130"/>
              <w:bottom w:type="dxa" w:w="90"/>
              <w:right w:type="dxa" w:w="130"/>
            </w:tcMar>
            <w:vAlign w:val="center"/>
          </w:tcPr>
          <w:p>
            <w:pPr>
              <w:spacing w:after="0" w:before="0" w:line="250"/>
            </w:pPr>
            <w:r>
              <w:rPr>
                <w:rFonts w:ascii="Arial" w:cs="Arial" w:eastAsia="Arial" w:hAnsi="Arial"/>
                <w:b w:val="false"/>
                <w:bCs w:val="false"/>
                <w:i w:val="false"/>
                <w:iCs w:val="false"/>
                <w:color w:val="1F2430"/>
                <w:sz w:val="18"/>
                <w:szCs w:val="18"/>
              </w:rPr>
              <w:t xml:space="preserve">Consent</w:t>
            </w:r>
          </w:p>
        </w:tc>
        <w:tc>
          <w:tcPr>
            <w:tcW w:type="dxa" w:w="6480"/>
            <w:tcBorders>
              <w:top w:val="single" w:color="DFDAEC" w:sz="1"/>
              <w:left w:val="single" w:color="DFDAEC" w:sz="1"/>
              <w:bottom w:val="single" w:color="DFDAEC" w:sz="1"/>
              <w:right w:val="single" w:color="DFDAEC" w:sz="1"/>
            </w:tcBorders>
            <w:shd w:fill="FFFFFF" w:color="auto" w:val="clear"/>
            <w:tcMar>
              <w:top w:type="dxa" w:w="90"/>
              <w:left w:type="dxa" w:w="130"/>
              <w:bottom w:type="dxa" w:w="90"/>
              <w:right w:type="dxa" w:w="130"/>
            </w:tcMar>
            <w:vAlign w:val="center"/>
          </w:tcPr>
          <w:p>
            <w:pPr>
              <w:spacing w:after="0" w:before="0" w:line="250"/>
            </w:pPr>
            <w:r>
              <w:rPr>
                <w:rFonts w:ascii="Arial" w:cs="Arial" w:eastAsia="Arial" w:hAnsi="Arial"/>
                <w:b w:val="false"/>
                <w:bCs w:val="false"/>
                <w:i w:val="false"/>
                <w:iCs w:val="false"/>
                <w:color w:val="1F2430"/>
                <w:sz w:val="18"/>
                <w:szCs w:val="18"/>
              </w:rPr>
              <w:t xml:space="preserve">Resident and responsible party consent, obtained under Facility policy, using CareTech's forms and support.</w:t>
            </w:r>
          </w:p>
        </w:tc>
      </w:tr>
      <w:tr>
        <w:trPr>
          <w:cantSplit/>
        </w:trPr>
        <w:tc>
          <w:tcPr>
            <w:tcW w:type="dxa" w:w="3600"/>
            <w:tcBorders>
              <w:top w:val="single" w:color="DFDAEC" w:sz="1"/>
              <w:left w:val="single" w:color="DFDAEC" w:sz="1"/>
              <w:bottom w:val="single" w:color="DFDAEC" w:sz="1"/>
              <w:right w:val="single" w:color="DFDAEC" w:sz="1"/>
            </w:tcBorders>
            <w:shd w:fill="F6F4FA" w:color="auto" w:val="clear"/>
            <w:tcMar>
              <w:top w:type="dxa" w:w="90"/>
              <w:left w:type="dxa" w:w="130"/>
              <w:bottom w:type="dxa" w:w="90"/>
              <w:right w:type="dxa" w:w="130"/>
            </w:tcMar>
            <w:vAlign w:val="center"/>
          </w:tcPr>
          <w:p>
            <w:pPr>
              <w:spacing w:after="0" w:before="0" w:line="250"/>
            </w:pPr>
            <w:r>
              <w:rPr>
                <w:rFonts w:ascii="Arial" w:cs="Arial" w:eastAsia="Arial" w:hAnsi="Arial"/>
                <w:b w:val="false"/>
                <w:bCs w:val="false"/>
                <w:i w:val="false"/>
                <w:iCs w:val="false"/>
                <w:color w:val="1F2430"/>
                <w:sz w:val="18"/>
                <w:szCs w:val="18"/>
              </w:rPr>
              <w:t xml:space="preserve">Executed companion documents</w:t>
            </w:r>
          </w:p>
        </w:tc>
        <w:tc>
          <w:tcPr>
            <w:tcW w:type="dxa" w:w="6480"/>
            <w:tcBorders>
              <w:top w:val="single" w:color="DFDAEC" w:sz="1"/>
              <w:left w:val="single" w:color="DFDAEC" w:sz="1"/>
              <w:bottom w:val="single" w:color="DFDAEC" w:sz="1"/>
              <w:right w:val="single" w:color="DFDAEC" w:sz="1"/>
            </w:tcBorders>
            <w:shd w:fill="F6F4FA" w:color="auto" w:val="clear"/>
            <w:tcMar>
              <w:top w:type="dxa" w:w="90"/>
              <w:left w:type="dxa" w:w="130"/>
              <w:bottom w:type="dxa" w:w="90"/>
              <w:right w:type="dxa" w:w="130"/>
            </w:tcMar>
            <w:vAlign w:val="center"/>
          </w:tcPr>
          <w:p>
            <w:pPr>
              <w:spacing w:after="0" w:before="0" w:line="250"/>
            </w:pPr>
            <w:r>
              <w:rPr>
                <w:rFonts w:ascii="Arial" w:cs="Arial" w:eastAsia="Arial" w:hAnsi="Arial"/>
                <w:b w:val="false"/>
                <w:bCs w:val="false"/>
                <w:i w:val="false"/>
                <w:iCs w:val="false"/>
                <w:color w:val="1F2430"/>
                <w:sz w:val="18"/>
                <w:szCs w:val="18"/>
              </w:rPr>
              <w:t xml:space="preserve">Signature on the Business Associate Agreement and the Data Transfer Authorization.</w:t>
            </w:r>
          </w:p>
        </w:tc>
      </w:tr>
      <w:tr>
        <w:trPr>
          <w:cantSplit/>
        </w:trPr>
        <w:tc>
          <w:tcPr>
            <w:tcW w:type="dxa" w:w="3600"/>
            <w:tcBorders>
              <w:top w:val="single" w:color="DFDAEC" w:sz="1"/>
              <w:left w:val="single" w:color="DFDAEC" w:sz="1"/>
              <w:bottom w:val="single" w:color="DFDAEC" w:sz="1"/>
              <w:right w:val="single" w:color="DFDAEC" w:sz="1"/>
            </w:tcBorders>
            <w:shd w:fill="FFFFFF" w:color="auto" w:val="clear"/>
            <w:tcMar>
              <w:top w:type="dxa" w:w="90"/>
              <w:left w:type="dxa" w:w="130"/>
              <w:bottom w:type="dxa" w:w="90"/>
              <w:right w:type="dxa" w:w="130"/>
            </w:tcMar>
            <w:vAlign w:val="center"/>
          </w:tcPr>
          <w:p>
            <w:pPr>
              <w:spacing w:after="0" w:before="0" w:line="250"/>
            </w:pPr>
            <w:r>
              <w:rPr>
                <w:rFonts w:ascii="Arial" w:cs="Arial" w:eastAsia="Arial" w:hAnsi="Arial"/>
                <w:b w:val="false"/>
                <w:bCs w:val="false"/>
                <w:i w:val="false"/>
                <w:iCs w:val="false"/>
                <w:color w:val="1F2430"/>
                <w:sz w:val="18"/>
                <w:szCs w:val="18"/>
              </w:rPr>
              <w:t xml:space="preserve">Power, network, and access</w:t>
            </w:r>
          </w:p>
        </w:tc>
        <w:tc>
          <w:tcPr>
            <w:tcW w:type="dxa" w:w="6480"/>
            <w:tcBorders>
              <w:top w:val="single" w:color="DFDAEC" w:sz="1"/>
              <w:left w:val="single" w:color="DFDAEC" w:sz="1"/>
              <w:bottom w:val="single" w:color="DFDAEC" w:sz="1"/>
              <w:right w:val="single" w:color="DFDAEC" w:sz="1"/>
            </w:tcBorders>
            <w:shd w:fill="FFFFFF" w:color="auto" w:val="clear"/>
            <w:tcMar>
              <w:top w:type="dxa" w:w="90"/>
              <w:left w:type="dxa" w:w="130"/>
              <w:bottom w:type="dxa" w:w="90"/>
              <w:right w:type="dxa" w:w="130"/>
            </w:tcMar>
            <w:vAlign w:val="center"/>
          </w:tcPr>
          <w:p>
            <w:pPr>
              <w:spacing w:after="0" w:before="0" w:line="250"/>
            </w:pPr>
            <w:r>
              <w:rPr>
                <w:rFonts w:ascii="Arial" w:cs="Arial" w:eastAsia="Arial" w:hAnsi="Arial"/>
                <w:b w:val="false"/>
                <w:bCs w:val="false"/>
                <w:i w:val="false"/>
                <w:iCs w:val="false"/>
                <w:color w:val="1F2430"/>
                <w:sz w:val="18"/>
                <w:szCs w:val="18"/>
              </w:rPr>
              <w:t xml:space="preserve">The items listed in Article 4.3, at the Facility's cost.</w:t>
            </w:r>
          </w:p>
        </w:tc>
      </w:tr>
      <w:tr>
        <w:trPr>
          <w:cantSplit/>
        </w:trPr>
        <w:tc>
          <w:tcPr>
            <w:tcW w:type="dxa" w:w="3600"/>
            <w:tcBorders>
              <w:top w:val="single" w:color="DFDAEC" w:sz="1"/>
              <w:left w:val="single" w:color="DFDAEC" w:sz="1"/>
              <w:bottom w:val="single" w:color="DFDAEC" w:sz="1"/>
              <w:right w:val="single" w:color="DFDAEC" w:sz="1"/>
            </w:tcBorders>
            <w:shd w:fill="F6F4FA" w:color="auto" w:val="clear"/>
            <w:tcMar>
              <w:top w:type="dxa" w:w="90"/>
              <w:left w:type="dxa" w:w="130"/>
              <w:bottom w:type="dxa" w:w="90"/>
              <w:right w:type="dxa" w:w="130"/>
            </w:tcMar>
            <w:vAlign w:val="center"/>
          </w:tcPr>
          <w:p>
            <w:pPr>
              <w:spacing w:after="0" w:before="0" w:line="250"/>
            </w:pPr>
            <w:r>
              <w:rPr>
                <w:rFonts w:ascii="Arial" w:cs="Arial" w:eastAsia="Arial" w:hAnsi="Arial"/>
                <w:b w:val="false"/>
                <w:bCs w:val="false"/>
                <w:i w:val="false"/>
                <w:iCs w:val="false"/>
                <w:color w:val="1F2430"/>
                <w:sz w:val="18"/>
                <w:szCs w:val="18"/>
              </w:rPr>
              <w:t xml:space="preserve">Continuity of the data feed</w:t>
            </w:r>
          </w:p>
        </w:tc>
        <w:tc>
          <w:tcPr>
            <w:tcW w:type="dxa" w:w="6480"/>
            <w:tcBorders>
              <w:top w:val="single" w:color="DFDAEC" w:sz="1"/>
              <w:left w:val="single" w:color="DFDAEC" w:sz="1"/>
              <w:bottom w:val="single" w:color="DFDAEC" w:sz="1"/>
              <w:right w:val="single" w:color="DFDAEC" w:sz="1"/>
            </w:tcBorders>
            <w:shd w:fill="F6F4FA" w:color="auto" w:val="clear"/>
            <w:tcMar>
              <w:top w:type="dxa" w:w="90"/>
              <w:left w:type="dxa" w:w="130"/>
              <w:bottom w:type="dxa" w:w="90"/>
              <w:right w:type="dxa" w:w="130"/>
            </w:tcMar>
            <w:vAlign w:val="center"/>
          </w:tcPr>
          <w:p>
            <w:pPr>
              <w:spacing w:after="0" w:before="0" w:line="250"/>
            </w:pPr>
            <w:r>
              <w:rPr>
                <w:rFonts w:ascii="Arial" w:cs="Arial" w:eastAsia="Arial" w:hAnsi="Arial"/>
                <w:b w:val="false"/>
                <w:bCs w:val="false"/>
                <w:i w:val="false"/>
                <w:iCs w:val="false"/>
                <w:color w:val="1F2430"/>
                <w:sz w:val="18"/>
                <w:szCs w:val="18"/>
              </w:rPr>
              <w:t xml:space="preserve">Reasonable continuity of the connection, and advance notice of planned interruptions where practicable.</w:t>
            </w:r>
          </w:p>
        </w:tc>
      </w:tr>
      <w:tr>
        <w:trPr>
          <w:cantSplit/>
        </w:trPr>
        <w:tc>
          <w:tcPr>
            <w:tcW w:type="dxa" w:w="3600"/>
            <w:tcBorders>
              <w:top w:val="single" w:color="DFDAEC" w:sz="1"/>
              <w:left w:val="single" w:color="DFDAEC" w:sz="1"/>
              <w:bottom w:val="single" w:color="DFDAEC" w:sz="1"/>
              <w:right w:val="single" w:color="DFDAEC" w:sz="1"/>
            </w:tcBorders>
            <w:shd w:fill="FFFFFF" w:color="auto" w:val="clear"/>
            <w:tcMar>
              <w:top w:type="dxa" w:w="90"/>
              <w:left w:type="dxa" w:w="130"/>
              <w:bottom w:type="dxa" w:w="90"/>
              <w:right w:type="dxa" w:w="130"/>
            </w:tcMar>
            <w:vAlign w:val="center"/>
          </w:tcPr>
          <w:p>
            <w:pPr>
              <w:spacing w:after="0" w:before="0" w:line="250"/>
            </w:pPr>
            <w:r>
              <w:rPr>
                <w:rFonts w:ascii="Arial" w:cs="Arial" w:eastAsia="Arial" w:hAnsi="Arial"/>
                <w:b w:val="false"/>
                <w:bCs w:val="false"/>
                <w:i w:val="false"/>
                <w:iCs w:val="false"/>
                <w:color w:val="1F2430"/>
                <w:sz w:val="18"/>
                <w:szCs w:val="18"/>
              </w:rPr>
              <w:t xml:space="preserve">Feedback</w:t>
            </w:r>
          </w:p>
        </w:tc>
        <w:tc>
          <w:tcPr>
            <w:tcW w:type="dxa" w:w="6480"/>
            <w:tcBorders>
              <w:top w:val="single" w:color="DFDAEC" w:sz="1"/>
              <w:left w:val="single" w:color="DFDAEC" w:sz="1"/>
              <w:bottom w:val="single" w:color="DFDAEC" w:sz="1"/>
              <w:right w:val="single" w:color="DFDAEC" w:sz="1"/>
            </w:tcBorders>
            <w:shd w:fill="FFFFFF" w:color="auto" w:val="clear"/>
            <w:tcMar>
              <w:top w:type="dxa" w:w="90"/>
              <w:left w:type="dxa" w:w="130"/>
              <w:bottom w:type="dxa" w:w="90"/>
              <w:right w:type="dxa" w:w="130"/>
            </w:tcMar>
            <w:vAlign w:val="center"/>
          </w:tcPr>
          <w:p>
            <w:pPr>
              <w:spacing w:after="0" w:before="0" w:line="250"/>
            </w:pPr>
            <w:r>
              <w:rPr>
                <w:rFonts w:ascii="Arial" w:cs="Arial" w:eastAsia="Arial" w:hAnsi="Arial"/>
                <w:b w:val="false"/>
                <w:bCs w:val="false"/>
                <w:i w:val="false"/>
                <w:iCs w:val="false"/>
                <w:color w:val="1F2430"/>
                <w:sz w:val="18"/>
                <w:szCs w:val="18"/>
              </w:rPr>
              <w:t xml:space="preserve">Honest feedback on what worked, what did not, and what got in the way, including the unflattering kind.</w:t>
            </w:r>
          </w:p>
        </w:tc>
      </w:tr>
    </w:tbl>
    <w:p>
      <w:pPr>
        <w:keepNext/>
        <w:pBdr>
          <w:bottom w:val="single" w:color="DFDAEC" w:sz="6" w:space="4"/>
        </w:pBdr>
        <w:spacing w:after="100" w:before="260"/>
      </w:pPr>
      <w:r>
        <w:rPr>
          <w:rFonts w:ascii="Arial" w:cs="Arial" w:eastAsia="Arial" w:hAnsi="Arial"/>
          <w:b/>
          <w:bCs/>
          <w:color w:val="6B4C9A"/>
          <w:sz w:val="23"/>
          <w:szCs w:val="23"/>
        </w:rPr>
        <w:t xml:space="preserve">Article 7.  Data, Privacy, and Companion Agreements</w:t>
      </w:r>
    </w:p>
    <w:p>
      <w:pPr>
        <w:keepNext w:val="false"/>
        <w:spacing w:after="100" w:before="0" w:line="268"/>
        <w:ind w:left="340" w:hanging="340"/>
      </w:pPr>
      <w:r>
        <w:rPr>
          <w:rFonts w:ascii="Arial" w:cs="Arial" w:eastAsia="Arial" w:hAnsi="Arial"/>
          <w:b/>
          <w:bCs/>
          <w:color w:val="6B4C9A"/>
          <w:sz w:val="19"/>
          <w:szCs w:val="19"/>
        </w:rPr>
        <w:t xml:space="preserve">7.1  </w:t>
      </w:r>
      <w:r>
        <w:rPr>
          <w:rFonts w:ascii="Arial" w:cs="Arial" w:eastAsia="Arial" w:hAnsi="Arial"/>
          <w:b/>
          <w:bCs/>
          <w:color w:val="1F2430"/>
          <w:sz w:val="19"/>
          <w:szCs w:val="19"/>
        </w:rPr>
        <w:t xml:space="preserve">Companion agreements. </w:t>
      </w:r>
      <w:r>
        <w:rPr>
          <w:rFonts w:ascii="Arial" w:cs="Arial" w:eastAsia="Arial" w:hAnsi="Arial"/>
          <w:color w:val="1F2430"/>
          <w:sz w:val="19"/>
          <w:szCs w:val="19"/>
        </w:rPr>
        <w:t xml:space="preserve">This Agreement is executed alongside, and is subject to, a Health Insurance Portability and Accountability Act (HIPAA) Business Associate Agreement (BAA) and a Data Transfer Authorization. Where this Agreement and the BAA conflict on any matter concerning Protected Health Information (PHI), the BAA governs.</w:t>
      </w:r>
    </w:p>
    <w:p>
      <w:pPr>
        <w:keepNext w:val="false"/>
        <w:spacing w:after="100" w:before="0" w:line="268"/>
        <w:ind w:left="340" w:hanging="340"/>
      </w:pPr>
      <w:r>
        <w:rPr>
          <w:rFonts w:ascii="Arial" w:cs="Arial" w:eastAsia="Arial" w:hAnsi="Arial"/>
          <w:b/>
          <w:bCs/>
          <w:color w:val="6B4C9A"/>
          <w:sz w:val="19"/>
          <w:szCs w:val="19"/>
        </w:rPr>
        <w:t xml:space="preserve">7.2  </w:t>
      </w:r>
      <w:r>
        <w:rPr>
          <w:rFonts w:ascii="Arial" w:cs="Arial" w:eastAsia="Arial" w:hAnsi="Arial"/>
          <w:b/>
          <w:bCs/>
          <w:color w:val="1F2430"/>
          <w:sz w:val="19"/>
          <w:szCs w:val="19"/>
        </w:rPr>
        <w:t xml:space="preserve">Facility data. </w:t>
      </w:r>
      <w:r>
        <w:rPr>
          <w:rFonts w:ascii="Arial" w:cs="Arial" w:eastAsia="Arial" w:hAnsi="Arial"/>
          <w:color w:val="1F2430"/>
          <w:sz w:val="19"/>
          <w:szCs w:val="19"/>
        </w:rPr>
        <w:t xml:space="preserve">All Facility data, including all PHI and all clinical records, remains the property of the Facility. CareTech holds it as a business associate and for no other purpose.</w:t>
      </w:r>
    </w:p>
    <w:p>
      <w:pPr>
        <w:keepNext w:val="false"/>
        <w:spacing w:after="100" w:before="0" w:line="268"/>
        <w:ind w:left="340" w:hanging="340"/>
      </w:pPr>
      <w:r>
        <w:rPr>
          <w:rFonts w:ascii="Arial" w:cs="Arial" w:eastAsia="Arial" w:hAnsi="Arial"/>
          <w:b/>
          <w:bCs/>
          <w:color w:val="6B4C9A"/>
          <w:sz w:val="19"/>
          <w:szCs w:val="19"/>
        </w:rPr>
        <w:t xml:space="preserve">7.3  </w:t>
      </w:r>
      <w:r>
        <w:rPr>
          <w:rFonts w:ascii="Arial" w:cs="Arial" w:eastAsia="Arial" w:hAnsi="Arial"/>
          <w:b/>
          <w:bCs/>
          <w:color w:val="1F2430"/>
          <w:sz w:val="19"/>
          <w:szCs w:val="19"/>
        </w:rPr>
        <w:t xml:space="preserve">De-identified data. </w:t>
      </w:r>
      <w:r>
        <w:rPr>
          <w:rFonts w:ascii="Arial" w:cs="Arial" w:eastAsia="Arial" w:hAnsi="Arial"/>
          <w:color w:val="1F2430"/>
          <w:sz w:val="19"/>
          <w:szCs w:val="19"/>
        </w:rPr>
        <w:t xml:space="preserve">CareTech may create and use de-identified data, meaning data from which identifiers have been removed in accordance with 45 CFR 164.514, for platform improvement, calibration, and aggregate reporting. CareTech will not publish, present, or share any result that identifies the Facility without the Facility's prior written consent.</w:t>
      </w:r>
    </w:p>
    <w:p>
      <w:pPr>
        <w:keepNext w:val="false"/>
        <w:spacing w:after="100" w:before="0" w:line="268"/>
        <w:ind w:left="340" w:hanging="340"/>
      </w:pPr>
      <w:r>
        <w:rPr>
          <w:rFonts w:ascii="Arial" w:cs="Arial" w:eastAsia="Arial" w:hAnsi="Arial"/>
          <w:b/>
          <w:bCs/>
          <w:color w:val="6B4C9A"/>
          <w:sz w:val="19"/>
          <w:szCs w:val="19"/>
        </w:rPr>
        <w:t xml:space="preserve">7.4  </w:t>
      </w:r>
      <w:r>
        <w:rPr>
          <w:rFonts w:ascii="Arial" w:cs="Arial" w:eastAsia="Arial" w:hAnsi="Arial"/>
          <w:b/>
          <w:bCs/>
          <w:color w:val="1F2430"/>
          <w:sz w:val="19"/>
          <w:szCs w:val="19"/>
        </w:rPr>
        <w:t xml:space="preserve">Consent. </w:t>
      </w:r>
      <w:r>
        <w:rPr>
          <w:rFonts w:ascii="Arial" w:cs="Arial" w:eastAsia="Arial" w:hAnsi="Arial"/>
          <w:color w:val="1F2430"/>
          <w:sz w:val="19"/>
          <w:szCs w:val="19"/>
        </w:rPr>
        <w:t xml:space="preserve">No resident is included in the pilot without consent obtained in accordance with Facility policy. A resident or responsible party may withdraw consent at any time, and CareTech will remove that resident from the pilot promptly on notice.</w:t>
      </w:r>
    </w:p>
    <w:p>
      <w:pPr>
        <w:keepNext w:val="false"/>
        <w:spacing w:after="100" w:before="0" w:line="268"/>
        <w:ind w:left="340" w:hanging="340"/>
      </w:pPr>
      <w:r>
        <w:rPr>
          <w:rFonts w:ascii="Arial" w:cs="Arial" w:eastAsia="Arial" w:hAnsi="Arial"/>
          <w:b/>
          <w:bCs/>
          <w:color w:val="6B4C9A"/>
          <w:sz w:val="19"/>
          <w:szCs w:val="19"/>
        </w:rPr>
        <w:t xml:space="preserve">7.5  </w:t>
      </w:r>
      <w:r>
        <w:rPr>
          <w:rFonts w:ascii="Arial" w:cs="Arial" w:eastAsia="Arial" w:hAnsi="Arial"/>
          <w:b/>
          <w:bCs/>
          <w:color w:val="1F2430"/>
          <w:sz w:val="19"/>
          <w:szCs w:val="19"/>
        </w:rPr>
        <w:t xml:space="preserve">On conclusion. </w:t>
      </w:r>
      <w:r>
        <w:rPr>
          <w:rFonts w:ascii="Arial" w:cs="Arial" w:eastAsia="Arial" w:hAnsi="Arial"/>
          <w:color w:val="1F2430"/>
          <w:sz w:val="19"/>
          <w:szCs w:val="19"/>
        </w:rPr>
        <w:t xml:space="preserve">On conclusion of the pilot, PHI is returned or destroyed in accordance with the BAA.</w:t>
      </w:r>
    </w:p>
    <w:p>
      <w:pPr>
        <w:keepNext/>
        <w:pBdr>
          <w:bottom w:val="single" w:color="DFDAEC" w:sz="6" w:space="4"/>
        </w:pBdr>
        <w:spacing w:after="100" w:before="260"/>
      </w:pPr>
      <w:r>
        <w:rPr>
          <w:rFonts w:ascii="Arial" w:cs="Arial" w:eastAsia="Arial" w:hAnsi="Arial"/>
          <w:b/>
          <w:bCs/>
          <w:color w:val="6B4C9A"/>
          <w:sz w:val="23"/>
          <w:szCs w:val="23"/>
        </w:rPr>
        <w:t xml:space="preserve">Article 8.  Nature of the Platform</w:t>
      </w:r>
    </w:p>
    <w:p>
      <w:pPr>
        <w:keepNext/>
        <w:spacing w:after="0" w:before="0" w:line="60"/>
      </w:pPr>
      <w:r>
        <w:rPr>
          <w:rFonts w:ascii="Arial" w:cs="Arial" w:eastAsia="Arial" w:hAnsi="Arial"/>
          <w:sz w:val="2"/>
          <w:szCs w:val="2"/>
        </w:rPr>
        <w:t xml:space="preserve"/>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rPr>
          <w:cantSplit/>
        </w:trPr>
        <w:tc>
          <w:tcPr>
            <w:tcW w:type="dxa" w:w="10080"/>
            <w:tcBorders>
              <w:top w:val="single" w:color="9482FF" w:sz="2"/>
              <w:left w:val="single" w:color="9482FF" w:sz="18"/>
              <w:bottom w:val="single" w:color="9482FF" w:sz="2"/>
              <w:right w:val="single" w:color="9482FF" w:sz="2"/>
            </w:tcBorders>
            <w:shd w:fill="F6F4FA" w:color="auto" w:val="clear"/>
            <w:tcMar>
              <w:top w:type="dxa" w:w="140"/>
              <w:left w:type="dxa" w:w="170"/>
              <w:bottom w:type="dxa" w:w="140"/>
              <w:right w:type="dxa" w:w="170"/>
            </w:tcMar>
          </w:tcPr>
          <w:p>
            <w:pPr>
              <w:keepNext/>
              <w:spacing w:after="60" w:before="0"/>
            </w:pPr>
            <w:r>
              <w:rPr>
                <w:rFonts w:ascii="Arial" w:cs="Arial" w:eastAsia="Arial" w:hAnsi="Arial"/>
                <w:b/>
                <w:bCs/>
                <w:color w:val="9482FF"/>
                <w:sz w:val="19"/>
                <w:szCs w:val="19"/>
              </w:rPr>
              <w:t xml:space="preserve">Governing statement</w:t>
            </w:r>
          </w:p>
          <w:p>
            <w:pPr>
              <w:spacing w:after="0" w:before="0" w:line="264"/>
            </w:pPr>
            <w:r>
              <w:rPr>
                <w:rFonts w:ascii="Arial" w:cs="Arial" w:eastAsia="Arial" w:hAnsi="Arial"/>
                <w:color w:val="1F2430"/>
                <w:sz w:val="18"/>
                <w:szCs w:val="18"/>
              </w:rPr>
              <w:t xml:space="preserve">SafeLinQ observes the resident. Clinicians interpret the observation.</w:t>
            </w:r>
          </w:p>
        </w:tc>
      </w:tr>
    </w:tbl>
    <w:p>
      <w:pPr>
        <w:keepNext w:val="false"/>
        <w:spacing w:after="0" w:before="0" w:line="140"/>
      </w:pPr>
      <w:r>
        <w:rPr>
          <w:rFonts w:ascii="Arial" w:cs="Arial" w:eastAsia="Arial" w:hAnsi="Arial"/>
          <w:sz w:val="2"/>
          <w:szCs w:val="2"/>
        </w:rPr>
        <w:t xml:space="preserve"/>
      </w:r>
    </w:p>
    <w:p>
      <w:pPr>
        <w:keepNext w:val="false"/>
        <w:spacing w:after="100" w:before="0" w:line="268"/>
        <w:ind w:left="340" w:hanging="340"/>
      </w:pPr>
      <w:r>
        <w:rPr>
          <w:rFonts w:ascii="Arial" w:cs="Arial" w:eastAsia="Arial" w:hAnsi="Arial"/>
          <w:b/>
          <w:bCs/>
          <w:color w:val="6B4C9A"/>
          <w:sz w:val="19"/>
          <w:szCs w:val="19"/>
        </w:rPr>
        <w:t xml:space="preserve">8.1  </w:t>
      </w:r>
      <w:r>
        <w:rPr>
          <w:rFonts w:ascii="Arial" w:cs="Arial" w:eastAsia="Arial" w:hAnsi="Arial"/>
          <w:b/>
          <w:bCs/>
          <w:color w:val="1F2430"/>
          <w:sz w:val="19"/>
          <w:szCs w:val="19"/>
        </w:rPr>
        <w:t xml:space="preserve">What the platform produces. </w:t>
      </w:r>
      <w:r>
        <w:rPr>
          <w:rFonts w:ascii="Arial" w:cs="Arial" w:eastAsia="Arial" w:hAnsi="Arial"/>
          <w:color w:val="1F2430"/>
          <w:sz w:val="19"/>
          <w:szCs w:val="19"/>
        </w:rPr>
        <w:t xml:space="preserve">SafeLinQ produces observational signals and documentation exposure indicators drawn from sensing technology and from the Facility's existing clinical documentation. Its output is informational.</w:t>
      </w:r>
    </w:p>
    <w:p>
      <w:pPr>
        <w:keepNext w:val="false"/>
        <w:spacing w:after="100" w:before="0" w:line="268"/>
        <w:ind w:left="340" w:hanging="340"/>
      </w:pPr>
      <w:r>
        <w:rPr>
          <w:rFonts w:ascii="Arial" w:cs="Arial" w:eastAsia="Arial" w:hAnsi="Arial"/>
          <w:b/>
          <w:bCs/>
          <w:color w:val="6B4C9A"/>
          <w:sz w:val="19"/>
          <w:szCs w:val="19"/>
        </w:rPr>
        <w:t xml:space="preserve">8.2  </w:t>
      </w:r>
      <w:r>
        <w:rPr>
          <w:rFonts w:ascii="Arial" w:cs="Arial" w:eastAsia="Arial" w:hAnsi="Arial"/>
          <w:b/>
          <w:bCs/>
          <w:color w:val="1F2430"/>
          <w:sz w:val="19"/>
          <w:szCs w:val="19"/>
        </w:rPr>
        <w:t xml:space="preserve">What the platform does not do. </w:t>
      </w:r>
      <w:r>
        <w:rPr>
          <w:rFonts w:ascii="Arial" w:cs="Arial" w:eastAsia="Arial" w:hAnsi="Arial"/>
          <w:color w:val="1F2430"/>
          <w:sz w:val="19"/>
          <w:szCs w:val="19"/>
        </w:rPr>
        <w:t xml:space="preserve">SafeLinQ does not diagnose, does not recommend treatment, does not direct clinical care, does not flag drug interactions, does not function as clinical decision support, and does not replace clinical judgment or the Facility's own assessment, care planning, and supervision.</w:t>
      </w:r>
    </w:p>
    <w:p>
      <w:pPr>
        <w:keepNext w:val="false"/>
        <w:spacing w:after="100" w:before="0" w:line="268"/>
        <w:ind w:left="340" w:hanging="340"/>
      </w:pPr>
      <w:r>
        <w:rPr>
          <w:rFonts w:ascii="Arial" w:cs="Arial" w:eastAsia="Arial" w:hAnsi="Arial"/>
          <w:b/>
          <w:bCs/>
          <w:color w:val="6B4C9A"/>
          <w:sz w:val="19"/>
          <w:szCs w:val="19"/>
        </w:rPr>
        <w:t xml:space="preserve">8.3  </w:t>
      </w:r>
      <w:r>
        <w:rPr>
          <w:rFonts w:ascii="Arial" w:cs="Arial" w:eastAsia="Arial" w:hAnsi="Arial"/>
          <w:b/>
          <w:bCs/>
          <w:color w:val="1F2430"/>
          <w:sz w:val="19"/>
          <w:szCs w:val="19"/>
        </w:rPr>
        <w:t xml:space="preserve">Not a medical device. </w:t>
      </w:r>
      <w:r>
        <w:rPr>
          <w:rFonts w:ascii="Arial" w:cs="Arial" w:eastAsia="Arial" w:hAnsi="Arial"/>
          <w:color w:val="1F2430"/>
          <w:sz w:val="19"/>
          <w:szCs w:val="19"/>
        </w:rPr>
        <w:t xml:space="preserve">SafeLinQ is not a medical device and is not offered, marketed, or supplied as one.</w:t>
      </w:r>
    </w:p>
    <w:p>
      <w:pPr>
        <w:keepNext w:val="false"/>
        <w:spacing w:after="100" w:before="0" w:line="268"/>
        <w:ind w:left="340" w:hanging="340"/>
      </w:pPr>
      <w:r>
        <w:rPr>
          <w:rFonts w:ascii="Arial" w:cs="Arial" w:eastAsia="Arial" w:hAnsi="Arial"/>
          <w:b/>
          <w:bCs/>
          <w:color w:val="6B4C9A"/>
          <w:sz w:val="19"/>
          <w:szCs w:val="19"/>
        </w:rPr>
        <w:t xml:space="preserve">8.4  </w:t>
      </w:r>
      <w:r>
        <w:rPr>
          <w:rFonts w:ascii="Arial" w:cs="Arial" w:eastAsia="Arial" w:hAnsi="Arial"/>
          <w:b/>
          <w:bCs/>
          <w:color w:val="1F2430"/>
          <w:sz w:val="19"/>
          <w:szCs w:val="19"/>
        </w:rPr>
        <w:t xml:space="preserve">Facility responsibility is unchanged. </w:t>
      </w:r>
      <w:r>
        <w:rPr>
          <w:rFonts w:ascii="Arial" w:cs="Arial" w:eastAsia="Arial" w:hAnsi="Arial"/>
          <w:color w:val="1F2430"/>
          <w:sz w:val="19"/>
          <w:szCs w:val="19"/>
        </w:rPr>
        <w:t xml:space="preserve">The Facility remains solely responsible for all clinical decisions, resident care, staffing, documentation, and regulatory compliance. Nothing in this Agreement, and nothing the platform produces, transfers any part of that responsibility to CareTech or reduces it.</w:t>
      </w:r>
    </w:p>
    <w:p>
      <w:pPr>
        <w:keepNext w:val="false"/>
        <w:spacing w:after="100" w:before="0" w:line="268"/>
        <w:ind w:left="340" w:hanging="340"/>
      </w:pPr>
      <w:r>
        <w:rPr>
          <w:rFonts w:ascii="Arial" w:cs="Arial" w:eastAsia="Arial" w:hAnsi="Arial"/>
          <w:b/>
          <w:bCs/>
          <w:color w:val="6B4C9A"/>
          <w:sz w:val="19"/>
          <w:szCs w:val="19"/>
        </w:rPr>
        <w:t xml:space="preserve">8.5  </w:t>
      </w:r>
      <w:r>
        <w:rPr>
          <w:rFonts w:ascii="Arial" w:cs="Arial" w:eastAsia="Arial" w:hAnsi="Arial"/>
          <w:b/>
          <w:bCs/>
          <w:color w:val="1F2430"/>
          <w:sz w:val="19"/>
          <w:szCs w:val="19"/>
        </w:rPr>
        <w:t xml:space="preserve">Software status. </w:t>
      </w:r>
      <w:r>
        <w:rPr>
          <w:rFonts w:ascii="Arial" w:cs="Arial" w:eastAsia="Arial" w:hAnsi="Arial"/>
          <w:color w:val="1F2430"/>
          <w:sz w:val="19"/>
          <w:szCs w:val="19"/>
        </w:rPr>
        <w:t xml:space="preserve">The Facility acknowledges that during the pilot SafeLinQ is software that has not yet reached general availability. It is provided on an as is basis, may be incomplete, may change during the pilot, and may experience interruption. CareTech makes no warranty of uninterrupted or error free operation during the pilot.</w:t>
      </w:r>
    </w:p>
    <w:p>
      <w:pPr>
        <w:keepNext/>
        <w:pBdr>
          <w:bottom w:val="single" w:color="DFDAEC" w:sz="6" w:space="4"/>
        </w:pBdr>
        <w:spacing w:after="100" w:before="260"/>
      </w:pPr>
      <w:r>
        <w:rPr>
          <w:rFonts w:ascii="Arial" w:cs="Arial" w:eastAsia="Arial" w:hAnsi="Arial"/>
          <w:b/>
          <w:bCs/>
          <w:color w:val="6B4C9A"/>
          <w:sz w:val="23"/>
          <w:szCs w:val="23"/>
        </w:rPr>
        <w:t xml:space="preserve">Article 9.  Conversion to a Subscription</w:t>
      </w:r>
    </w:p>
    <w:p>
      <w:pPr>
        <w:keepNext/>
        <w:spacing w:after="0" w:before="0" w:line="60"/>
      </w:pPr>
      <w:r>
        <w:rPr>
          <w:rFonts w:ascii="Arial" w:cs="Arial" w:eastAsia="Arial" w:hAnsi="Arial"/>
          <w:sz w:val="2"/>
          <w:szCs w:val="2"/>
        </w:rPr>
        <w:t xml:space="preserve"/>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rPr>
          <w:cantSplit/>
        </w:trPr>
        <w:tc>
          <w:tcPr>
            <w:tcW w:type="dxa" w:w="10080"/>
            <w:tcBorders>
              <w:top w:val="single" w:color="8A6100" w:sz="2"/>
              <w:left w:val="single" w:color="8A6100" w:sz="18"/>
              <w:bottom w:val="single" w:color="8A6100" w:sz="2"/>
              <w:right w:val="single" w:color="8A6100" w:sz="2"/>
            </w:tcBorders>
            <w:shd w:fill="FDF6E6" w:color="auto" w:val="clear"/>
            <w:tcMar>
              <w:top w:type="dxa" w:w="140"/>
              <w:left w:type="dxa" w:w="170"/>
              <w:bottom w:type="dxa" w:w="140"/>
              <w:right w:type="dxa" w:w="170"/>
            </w:tcMar>
          </w:tcPr>
          <w:p>
            <w:pPr>
              <w:keepNext/>
              <w:spacing w:after="60" w:before="0"/>
            </w:pPr>
            <w:r>
              <w:rPr>
                <w:rFonts w:ascii="Arial" w:cs="Arial" w:eastAsia="Arial" w:hAnsi="Arial"/>
                <w:b/>
                <w:bCs/>
                <w:color w:val="8A6100"/>
                <w:sz w:val="19"/>
                <w:szCs w:val="19"/>
              </w:rPr>
              <w:t xml:space="preserve">No automatic conversion</w:t>
            </w:r>
          </w:p>
          <w:p>
            <w:pPr>
              <w:spacing w:after="0" w:before="0" w:line="264"/>
            </w:pPr>
            <w:r>
              <w:rPr>
                <w:rFonts w:ascii="Arial" w:cs="Arial" w:eastAsia="Arial" w:hAnsi="Arial"/>
                <w:color w:val="1F2430"/>
                <w:sz w:val="18"/>
                <w:szCs w:val="18"/>
              </w:rPr>
              <w:t xml:space="preserve">This Agreement does not convert into a paid subscription. There is no automatic renewal, no automatic billing, and no obligation created by silence or by the passage of time. A paid subscription begins only when a separate written subscription agreement is signed by both Parties.</w:t>
            </w:r>
          </w:p>
        </w:tc>
      </w:tr>
    </w:tbl>
    <w:p>
      <w:pPr>
        <w:keepNext w:val="false"/>
        <w:spacing w:after="0" w:before="0" w:line="140"/>
      </w:pPr>
      <w:r>
        <w:rPr>
          <w:rFonts w:ascii="Arial" w:cs="Arial" w:eastAsia="Arial" w:hAnsi="Arial"/>
          <w:sz w:val="2"/>
          <w:szCs w:val="2"/>
        </w:rPr>
        <w:t xml:space="preserve"/>
      </w:r>
    </w:p>
    <w:p>
      <w:pPr>
        <w:keepNext w:val="false"/>
        <w:spacing w:after="100" w:before="0" w:line="268"/>
        <w:ind w:left="340" w:hanging="340"/>
      </w:pPr>
      <w:r>
        <w:rPr>
          <w:rFonts w:ascii="Arial" w:cs="Arial" w:eastAsia="Arial" w:hAnsi="Arial"/>
          <w:b/>
          <w:bCs/>
          <w:color w:val="6B4C9A"/>
          <w:sz w:val="19"/>
          <w:szCs w:val="19"/>
        </w:rPr>
        <w:t xml:space="preserve">9.1  </w:t>
      </w:r>
      <w:r>
        <w:rPr>
          <w:rFonts w:ascii="Arial" w:cs="Arial" w:eastAsia="Arial" w:hAnsi="Arial"/>
          <w:b/>
          <w:bCs/>
          <w:color w:val="1F2430"/>
          <w:sz w:val="19"/>
          <w:szCs w:val="19"/>
        </w:rPr>
        <w:t xml:space="preserve">Affirmative signature required. </w:t>
      </w:r>
      <w:r>
        <w:rPr>
          <w:rFonts w:ascii="Arial" w:cs="Arial" w:eastAsia="Arial" w:hAnsi="Arial"/>
          <w:color w:val="1F2430"/>
          <w:sz w:val="19"/>
          <w:szCs w:val="19"/>
        </w:rPr>
        <w:t xml:space="preserve">A paid subscription arises only on execution of a separate written subscription agreement signed by an authorized representative of each Party. No conduct, continued use, or lapse of time creates a subscription.</w:t>
      </w:r>
    </w:p>
    <w:p>
      <w:pPr>
        <w:keepNext w:val="false"/>
        <w:spacing w:after="100" w:before="0" w:line="268"/>
        <w:ind w:left="340" w:hanging="340"/>
      </w:pPr>
      <w:r>
        <w:rPr>
          <w:rFonts w:ascii="Arial" w:cs="Arial" w:eastAsia="Arial" w:hAnsi="Arial"/>
          <w:b/>
          <w:bCs/>
          <w:color w:val="6B4C9A"/>
          <w:sz w:val="19"/>
          <w:szCs w:val="19"/>
        </w:rPr>
        <w:t xml:space="preserve">9.2  </w:t>
      </w:r>
      <w:r>
        <w:rPr>
          <w:rFonts w:ascii="Arial" w:cs="Arial" w:eastAsia="Arial" w:hAnsi="Arial"/>
          <w:b/>
          <w:bCs/>
          <w:color w:val="1F2430"/>
          <w:sz w:val="19"/>
          <w:szCs w:val="19"/>
        </w:rPr>
        <w:t xml:space="preserve">Indicative pricing. </w:t>
      </w:r>
      <w:r>
        <w:rPr>
          <w:rFonts w:ascii="Arial" w:cs="Arial" w:eastAsia="Arial" w:hAnsi="Arial"/>
          <w:color w:val="1F2430"/>
          <w:sz w:val="19"/>
          <w:szCs w:val="19"/>
        </w:rPr>
        <w:t xml:space="preserve">Any subscription rate stated in Schedule A is indicative only, is provided for planning, and is not binding on either Party. Final pricing is set in the subscription agreement.</w:t>
      </w:r>
    </w:p>
    <w:p>
      <w:pPr>
        <w:keepNext w:val="false"/>
        <w:spacing w:after="100" w:before="0" w:line="268"/>
        <w:ind w:left="340" w:hanging="340"/>
      </w:pPr>
      <w:r>
        <w:rPr>
          <w:rFonts w:ascii="Arial" w:cs="Arial" w:eastAsia="Arial" w:hAnsi="Arial"/>
          <w:b/>
          <w:bCs/>
          <w:color w:val="6B4C9A"/>
          <w:sz w:val="19"/>
          <w:szCs w:val="19"/>
        </w:rPr>
        <w:t xml:space="preserve">9.3  </w:t>
      </w:r>
      <w:r>
        <w:rPr>
          <w:rFonts w:ascii="Arial" w:cs="Arial" w:eastAsia="Arial" w:hAnsi="Arial"/>
          <w:b/>
          <w:bCs/>
          <w:color w:val="1F2430"/>
          <w:sz w:val="19"/>
          <w:szCs w:val="19"/>
        </w:rPr>
        <w:t xml:space="preserve">Access after conclusion. </w:t>
      </w:r>
      <w:r>
        <w:rPr>
          <w:rFonts w:ascii="Arial" w:cs="Arial" w:eastAsia="Arial" w:hAnsi="Arial"/>
          <w:color w:val="1F2430"/>
          <w:sz w:val="19"/>
          <w:szCs w:val="19"/>
        </w:rPr>
        <w:t xml:space="preserve">If the pilot concludes without a subscription agreement, CareTech may discontinue platform access on reasonable written notice, coordinated with the Facility so that no resident care workflow is interrupted without warning.</w:t>
      </w:r>
    </w:p>
    <w:p>
      <w:pPr>
        <w:keepNext/>
        <w:pBdr>
          <w:bottom w:val="single" w:color="DFDAEC" w:sz="6" w:space="4"/>
        </w:pBdr>
        <w:spacing w:after="100" w:before="260"/>
      </w:pPr>
      <w:r>
        <w:rPr>
          <w:rFonts w:ascii="Arial" w:cs="Arial" w:eastAsia="Arial" w:hAnsi="Arial"/>
          <w:b/>
          <w:bCs/>
          <w:color w:val="6B4C9A"/>
          <w:sz w:val="23"/>
          <w:szCs w:val="23"/>
        </w:rPr>
        <w:t xml:space="preserve">Article 10.  Conclusion and Termination</w:t>
      </w:r>
    </w:p>
    <w:p>
      <w:pPr>
        <w:keepNext w:val="false"/>
        <w:spacing w:after="100" w:before="0" w:line="268"/>
        <w:ind w:left="340" w:hanging="340"/>
      </w:pPr>
      <w:r>
        <w:rPr>
          <w:rFonts w:ascii="Arial" w:cs="Arial" w:eastAsia="Arial" w:hAnsi="Arial"/>
          <w:b/>
          <w:bCs/>
          <w:color w:val="6B4C9A"/>
          <w:sz w:val="19"/>
          <w:szCs w:val="19"/>
        </w:rPr>
        <w:t xml:space="preserve">10.1  </w:t>
      </w:r>
      <w:r>
        <w:rPr>
          <w:rFonts w:ascii="Arial" w:cs="Arial" w:eastAsia="Arial" w:hAnsi="Arial"/>
          <w:b/>
          <w:bCs/>
          <w:color w:val="1F2430"/>
          <w:sz w:val="19"/>
          <w:szCs w:val="19"/>
        </w:rPr>
        <w:t xml:space="preserve">Either Party, at any time. </w:t>
      </w:r>
      <w:r>
        <w:rPr>
          <w:rFonts w:ascii="Arial" w:cs="Arial" w:eastAsia="Arial" w:hAnsi="Arial"/>
          <w:color w:val="1F2430"/>
          <w:sz w:val="19"/>
          <w:szCs w:val="19"/>
        </w:rPr>
        <w:t xml:space="preserve">Either Party may conclude the pilot at any time, for any reason or for no reason, on written notice to the other. No cause is required, no cure period applies, and no penalty, fee, or damages arise from concluding the pilot.</w:t>
      </w:r>
    </w:p>
    <w:p>
      <w:pPr>
        <w:keepNext w:val="false"/>
        <w:spacing w:after="100" w:before="0" w:line="268"/>
        <w:ind w:left="340" w:hanging="340"/>
      </w:pPr>
      <w:r>
        <w:rPr>
          <w:rFonts w:ascii="Arial" w:cs="Arial" w:eastAsia="Arial" w:hAnsi="Arial"/>
          <w:b/>
          <w:bCs/>
          <w:color w:val="6B4C9A"/>
          <w:sz w:val="19"/>
          <w:szCs w:val="19"/>
        </w:rPr>
        <w:t xml:space="preserve">10.2  </w:t>
      </w:r>
      <w:r>
        <w:rPr>
          <w:rFonts w:ascii="Arial" w:cs="Arial" w:eastAsia="Arial" w:hAnsi="Arial"/>
          <w:b/>
          <w:bCs/>
          <w:color w:val="1F2430"/>
          <w:sz w:val="19"/>
          <w:szCs w:val="19"/>
        </w:rPr>
        <w:t xml:space="preserve">Effect of conclusion. </w:t>
      </w:r>
      <w:r>
        <w:rPr>
          <w:rFonts w:ascii="Arial" w:cs="Arial" w:eastAsia="Arial" w:hAnsi="Arial"/>
          <w:color w:val="1F2430"/>
          <w:sz w:val="19"/>
          <w:szCs w:val="19"/>
        </w:rPr>
        <w:t xml:space="preserve">On conclusion: platform access is discontinued on a date the Parties agree; equipment is removed under Article 4.4; and PHI is handled under the BAA.</w:t>
      </w:r>
    </w:p>
    <w:p>
      <w:pPr>
        <w:keepNext w:val="false"/>
        <w:spacing w:after="100" w:before="0" w:line="268"/>
        <w:ind w:left="340" w:hanging="340"/>
      </w:pPr>
      <w:r>
        <w:rPr>
          <w:rFonts w:ascii="Arial" w:cs="Arial" w:eastAsia="Arial" w:hAnsi="Arial"/>
          <w:b/>
          <w:bCs/>
          <w:color w:val="6B4C9A"/>
          <w:sz w:val="19"/>
          <w:szCs w:val="19"/>
        </w:rPr>
        <w:t xml:space="preserve">10.3  </w:t>
      </w:r>
      <w:r>
        <w:rPr>
          <w:rFonts w:ascii="Arial" w:cs="Arial" w:eastAsia="Arial" w:hAnsi="Arial"/>
          <w:b/>
          <w:bCs/>
          <w:color w:val="1F2430"/>
          <w:sz w:val="19"/>
          <w:szCs w:val="19"/>
        </w:rPr>
        <w:t xml:space="preserve">Survival. </w:t>
      </w:r>
      <w:r>
        <w:rPr>
          <w:rFonts w:ascii="Arial" w:cs="Arial" w:eastAsia="Arial" w:hAnsi="Arial"/>
          <w:color w:val="1F2430"/>
          <w:sz w:val="19"/>
          <w:szCs w:val="19"/>
        </w:rPr>
        <w:t xml:space="preserve">Articles 4.4, 7, 8, 11, and 12 survive conclusion of the pilot, together with any provision that by its nature is intended to survive.</w:t>
      </w:r>
    </w:p>
    <w:p>
      <w:pPr>
        <w:keepNext/>
        <w:pBdr>
          <w:bottom w:val="single" w:color="DFDAEC" w:sz="6" w:space="4"/>
        </w:pBdr>
        <w:spacing w:after="100" w:before="260"/>
      </w:pPr>
      <w:r>
        <w:rPr>
          <w:rFonts w:ascii="Arial" w:cs="Arial" w:eastAsia="Arial" w:hAnsi="Arial"/>
          <w:b/>
          <w:bCs/>
          <w:color w:val="6B4C9A"/>
          <w:sz w:val="23"/>
          <w:szCs w:val="23"/>
        </w:rPr>
        <w:t xml:space="preserve">Article 11.  Confidentiality and Publicity</w:t>
      </w:r>
    </w:p>
    <w:p>
      <w:pPr>
        <w:keepNext w:val="false"/>
        <w:spacing w:after="100" w:before="0" w:line="268"/>
        <w:ind w:left="340" w:hanging="340"/>
      </w:pPr>
      <w:r>
        <w:rPr>
          <w:rFonts w:ascii="Arial" w:cs="Arial" w:eastAsia="Arial" w:hAnsi="Arial"/>
          <w:b/>
          <w:bCs/>
          <w:color w:val="6B4C9A"/>
          <w:sz w:val="19"/>
          <w:szCs w:val="19"/>
        </w:rPr>
        <w:t xml:space="preserve">11.1  </w:t>
      </w:r>
      <w:r>
        <w:rPr>
          <w:rFonts w:ascii="Arial" w:cs="Arial" w:eastAsia="Arial" w:hAnsi="Arial"/>
          <w:b/>
          <w:bCs/>
          <w:color w:val="1F2430"/>
          <w:sz w:val="19"/>
          <w:szCs w:val="19"/>
        </w:rPr>
        <w:t xml:space="preserve">Mutual confidentiality. </w:t>
      </w:r>
      <w:r>
        <w:rPr>
          <w:rFonts w:ascii="Arial" w:cs="Arial" w:eastAsia="Arial" w:hAnsi="Arial"/>
          <w:color w:val="1F2430"/>
          <w:sz w:val="19"/>
          <w:szCs w:val="19"/>
        </w:rPr>
        <w:t xml:space="preserve">Each Party will keep confidential the non-public information of the other disclosed in connection with the pilot, and will use it only for the purpose of the pilot. This obligation does not apply to information that is public through no fault of the receiving Party, was already known to it, is independently developed, or is required to be disclosed by law or by a regulator.</w:t>
      </w:r>
    </w:p>
    <w:p>
      <w:pPr>
        <w:keepNext w:val="false"/>
        <w:spacing w:after="100" w:before="0" w:line="268"/>
        <w:ind w:left="340" w:hanging="340"/>
      </w:pPr>
      <w:r>
        <w:rPr>
          <w:rFonts w:ascii="Arial" w:cs="Arial" w:eastAsia="Arial" w:hAnsi="Arial"/>
          <w:b/>
          <w:bCs/>
          <w:color w:val="6B4C9A"/>
          <w:sz w:val="19"/>
          <w:szCs w:val="19"/>
        </w:rPr>
        <w:t xml:space="preserve">11.2  </w:t>
      </w:r>
      <w:r>
        <w:rPr>
          <w:rFonts w:ascii="Arial" w:cs="Arial" w:eastAsia="Arial" w:hAnsi="Arial"/>
          <w:b/>
          <w:bCs/>
          <w:color w:val="1F2430"/>
          <w:sz w:val="19"/>
          <w:szCs w:val="19"/>
        </w:rPr>
        <w:t xml:space="preserve">No publicity without consent. </w:t>
      </w:r>
      <w:r>
        <w:rPr>
          <w:rFonts w:ascii="Arial" w:cs="Arial" w:eastAsia="Arial" w:hAnsi="Arial"/>
          <w:color w:val="1F2430"/>
          <w:sz w:val="19"/>
          <w:szCs w:val="19"/>
        </w:rPr>
        <w:t xml:space="preserve">CareTech will not use the Facility's name, logo, likeness, photographs, or any pilot result in any marketing, sales, press, investor, or public material without the Facility's prior written consent, which the Facility may withhold for any reason or for no reason.</w:t>
      </w:r>
    </w:p>
    <w:p>
      <w:pPr>
        <w:keepNext w:val="false"/>
        <w:spacing w:after="100" w:before="0" w:line="268"/>
        <w:ind w:left="340" w:hanging="340"/>
      </w:pPr>
      <w:r>
        <w:rPr>
          <w:rFonts w:ascii="Arial" w:cs="Arial" w:eastAsia="Arial" w:hAnsi="Arial"/>
          <w:b/>
          <w:bCs/>
          <w:color w:val="6B4C9A"/>
          <w:sz w:val="19"/>
          <w:szCs w:val="19"/>
        </w:rPr>
        <w:t xml:space="preserve">11.3  </w:t>
      </w:r>
      <w:r>
        <w:rPr>
          <w:rFonts w:ascii="Arial" w:cs="Arial" w:eastAsia="Arial" w:hAnsi="Arial"/>
          <w:b/>
          <w:bCs/>
          <w:color w:val="1F2430"/>
          <w:sz w:val="19"/>
          <w:szCs w:val="19"/>
        </w:rPr>
        <w:t xml:space="preserve">Regulatory disclosure is not restricted. </w:t>
      </w:r>
      <w:r>
        <w:rPr>
          <w:rFonts w:ascii="Arial" w:cs="Arial" w:eastAsia="Arial" w:hAnsi="Arial"/>
          <w:color w:val="1F2430"/>
          <w:sz w:val="19"/>
          <w:szCs w:val="19"/>
        </w:rPr>
        <w:t xml:space="preserve">Nothing in this Article restricts the Facility from disclosing any information to a surveyor, a regulator, its counsel, its insurer, or a resident or responsible party, as the Facility judges appropriate.</w:t>
      </w:r>
    </w:p>
    <w:p>
      <w:pPr>
        <w:keepNext/>
        <w:pBdr>
          <w:bottom w:val="single" w:color="DFDAEC" w:sz="6" w:space="4"/>
        </w:pBdr>
        <w:spacing w:after="100" w:before="260"/>
      </w:pPr>
      <w:r>
        <w:rPr>
          <w:rFonts w:ascii="Arial" w:cs="Arial" w:eastAsia="Arial" w:hAnsi="Arial"/>
          <w:b/>
          <w:bCs/>
          <w:color w:val="6B4C9A"/>
          <w:sz w:val="23"/>
          <w:szCs w:val="23"/>
        </w:rPr>
        <w:t xml:space="preserve">Article 12.  General Provisions</w:t>
      </w:r>
    </w:p>
    <w:p>
      <w:pPr>
        <w:keepNext w:val="false"/>
        <w:spacing w:after="100" w:before="0" w:line="268"/>
        <w:ind w:left="340" w:hanging="340"/>
      </w:pPr>
      <w:r>
        <w:rPr>
          <w:rFonts w:ascii="Arial" w:cs="Arial" w:eastAsia="Arial" w:hAnsi="Arial"/>
          <w:b/>
          <w:bCs/>
          <w:color w:val="6B4C9A"/>
          <w:sz w:val="19"/>
          <w:szCs w:val="19"/>
        </w:rPr>
        <w:t xml:space="preserve">12.1  </w:t>
      </w:r>
      <w:r>
        <w:rPr>
          <w:rFonts w:ascii="Arial" w:cs="Arial" w:eastAsia="Arial" w:hAnsi="Arial"/>
          <w:b/>
          <w:bCs/>
          <w:color w:val="1F2430"/>
          <w:sz w:val="19"/>
          <w:szCs w:val="19"/>
        </w:rPr>
        <w:t xml:space="preserve">Independent parties. </w:t>
      </w:r>
      <w:r>
        <w:rPr>
          <w:rFonts w:ascii="Arial" w:cs="Arial" w:eastAsia="Arial" w:hAnsi="Arial"/>
          <w:color w:val="1F2430"/>
          <w:sz w:val="19"/>
          <w:szCs w:val="19"/>
        </w:rPr>
        <w:t xml:space="preserve">The Parties are independent contractors. Nothing in this Agreement creates a partnership, joint venture, employment, or agency relationship.</w:t>
      </w:r>
    </w:p>
    <w:p>
      <w:pPr>
        <w:keepNext w:val="false"/>
        <w:spacing w:after="100" w:before="0" w:line="268"/>
        <w:ind w:left="340" w:hanging="340"/>
      </w:pPr>
      <w:r>
        <w:rPr>
          <w:rFonts w:ascii="Arial" w:cs="Arial" w:eastAsia="Arial" w:hAnsi="Arial"/>
          <w:b/>
          <w:bCs/>
          <w:color w:val="6B4C9A"/>
          <w:sz w:val="19"/>
          <w:szCs w:val="19"/>
        </w:rPr>
        <w:t xml:space="preserve">12.2  </w:t>
      </w:r>
      <w:r>
        <w:rPr>
          <w:rFonts w:ascii="Arial" w:cs="Arial" w:eastAsia="Arial" w:hAnsi="Arial"/>
          <w:b/>
          <w:bCs/>
          <w:color w:val="1F2430"/>
          <w:sz w:val="19"/>
          <w:szCs w:val="19"/>
        </w:rPr>
        <w:t xml:space="preserve">Limitation of liability. </w:t>
      </w:r>
      <w:r>
        <w:rPr>
          <w:rFonts w:ascii="Arial" w:cs="Arial" w:eastAsia="Arial" w:hAnsi="Arial"/>
          <w:color w:val="1F2430"/>
          <w:sz w:val="19"/>
          <w:szCs w:val="19"/>
        </w:rPr>
        <w:t xml:space="preserve">Neither Party is liable to the other for indirect, incidental, special, consequential, or punitive damages, or for lost profits, arising out of the pilot. CareTech's aggregate liability arising out of or relating to this Agreement is limited to [ AMOUNT TO BE SET BY COUNSEL ]. This Article does not limit either Party's liability for gross negligence, willful misconduct, or breach of its confidentiality or PHI obligations.</w:t>
      </w:r>
    </w:p>
    <w:p>
      <w:pPr>
        <w:keepNext w:val="false"/>
        <w:spacing w:after="100" w:before="0" w:line="268"/>
        <w:ind w:left="340" w:hanging="340"/>
      </w:pPr>
      <w:r>
        <w:rPr>
          <w:rFonts w:ascii="Arial" w:cs="Arial" w:eastAsia="Arial" w:hAnsi="Arial"/>
          <w:b/>
          <w:bCs/>
          <w:color w:val="6B4C9A"/>
          <w:sz w:val="19"/>
          <w:szCs w:val="19"/>
        </w:rPr>
        <w:t xml:space="preserve">12.3  </w:t>
      </w:r>
      <w:r>
        <w:rPr>
          <w:rFonts w:ascii="Arial" w:cs="Arial" w:eastAsia="Arial" w:hAnsi="Arial"/>
          <w:b/>
          <w:bCs/>
          <w:color w:val="1F2430"/>
          <w:sz w:val="19"/>
          <w:szCs w:val="19"/>
        </w:rPr>
        <w:t xml:space="preserve">Insurance. </w:t>
      </w:r>
      <w:r>
        <w:rPr>
          <w:rFonts w:ascii="Arial" w:cs="Arial" w:eastAsia="Arial" w:hAnsi="Arial"/>
          <w:color w:val="1F2430"/>
          <w:sz w:val="19"/>
          <w:szCs w:val="19"/>
        </w:rPr>
        <w:t xml:space="preserve">Each Party will maintain commercially reasonable insurance appropriate to its role during the pilot, and will provide a certificate on request.</w:t>
      </w:r>
    </w:p>
    <w:p>
      <w:pPr>
        <w:keepNext w:val="false"/>
        <w:spacing w:after="100" w:before="0" w:line="268"/>
        <w:ind w:left="340" w:hanging="340"/>
      </w:pPr>
      <w:r>
        <w:rPr>
          <w:rFonts w:ascii="Arial" w:cs="Arial" w:eastAsia="Arial" w:hAnsi="Arial"/>
          <w:b/>
          <w:bCs/>
          <w:color w:val="6B4C9A"/>
          <w:sz w:val="19"/>
          <w:szCs w:val="19"/>
        </w:rPr>
        <w:t xml:space="preserve">12.4  </w:t>
      </w:r>
      <w:r>
        <w:rPr>
          <w:rFonts w:ascii="Arial" w:cs="Arial" w:eastAsia="Arial" w:hAnsi="Arial"/>
          <w:b/>
          <w:bCs/>
          <w:color w:val="1F2430"/>
          <w:sz w:val="19"/>
          <w:szCs w:val="19"/>
        </w:rPr>
        <w:t xml:space="preserve">Governing law. </w:t>
      </w:r>
      <w:r>
        <w:rPr>
          <w:rFonts w:ascii="Arial" w:cs="Arial" w:eastAsia="Arial" w:hAnsi="Arial"/>
          <w:color w:val="1F2430"/>
          <w:sz w:val="19"/>
          <w:szCs w:val="19"/>
        </w:rPr>
        <w:t xml:space="preserve">This Agreement is governed by the laws of the State of New York, without regard to its conflict of laws provisions.</w:t>
      </w:r>
    </w:p>
    <w:p>
      <w:pPr>
        <w:keepNext w:val="false"/>
        <w:spacing w:after="100" w:before="0" w:line="268"/>
        <w:ind w:left="340" w:hanging="340"/>
      </w:pPr>
      <w:r>
        <w:rPr>
          <w:rFonts w:ascii="Arial" w:cs="Arial" w:eastAsia="Arial" w:hAnsi="Arial"/>
          <w:b/>
          <w:bCs/>
          <w:color w:val="6B4C9A"/>
          <w:sz w:val="19"/>
          <w:szCs w:val="19"/>
        </w:rPr>
        <w:t xml:space="preserve">12.5  </w:t>
      </w:r>
      <w:r>
        <w:rPr>
          <w:rFonts w:ascii="Arial" w:cs="Arial" w:eastAsia="Arial" w:hAnsi="Arial"/>
          <w:b/>
          <w:bCs/>
          <w:color w:val="1F2430"/>
          <w:sz w:val="19"/>
          <w:szCs w:val="19"/>
        </w:rPr>
        <w:t xml:space="preserve">Notices. </w:t>
      </w:r>
      <w:r>
        <w:rPr>
          <w:rFonts w:ascii="Arial" w:cs="Arial" w:eastAsia="Arial" w:hAnsi="Arial"/>
          <w:color w:val="1F2430"/>
          <w:sz w:val="19"/>
          <w:szCs w:val="19"/>
        </w:rPr>
        <w:t xml:space="preserve">Notices under this Agreement must be in writing and sent to the representatives and addresses stated in Article 1 and in Schedule A. Email is sufficient.</w:t>
      </w:r>
    </w:p>
    <w:p>
      <w:pPr>
        <w:keepNext w:val="false"/>
        <w:spacing w:after="100" w:before="0" w:line="268"/>
        <w:ind w:left="340" w:hanging="340"/>
      </w:pPr>
      <w:r>
        <w:rPr>
          <w:rFonts w:ascii="Arial" w:cs="Arial" w:eastAsia="Arial" w:hAnsi="Arial"/>
          <w:b/>
          <w:bCs/>
          <w:color w:val="6B4C9A"/>
          <w:sz w:val="19"/>
          <w:szCs w:val="19"/>
        </w:rPr>
        <w:t xml:space="preserve">12.6  </w:t>
      </w:r>
      <w:r>
        <w:rPr>
          <w:rFonts w:ascii="Arial" w:cs="Arial" w:eastAsia="Arial" w:hAnsi="Arial"/>
          <w:b/>
          <w:bCs/>
          <w:color w:val="1F2430"/>
          <w:sz w:val="19"/>
          <w:szCs w:val="19"/>
        </w:rPr>
        <w:t xml:space="preserve">Assignment. </w:t>
      </w:r>
      <w:r>
        <w:rPr>
          <w:rFonts w:ascii="Arial" w:cs="Arial" w:eastAsia="Arial" w:hAnsi="Arial"/>
          <w:color w:val="1F2430"/>
          <w:sz w:val="19"/>
          <w:szCs w:val="19"/>
        </w:rPr>
        <w:t xml:space="preserve">Neither Party may assign this Agreement without the prior written consent of the other, except to a successor in connection with a merger or a sale of substantially all assets.</w:t>
      </w:r>
    </w:p>
    <w:p>
      <w:pPr>
        <w:keepNext w:val="false"/>
        <w:spacing w:after="100" w:before="0" w:line="268"/>
        <w:ind w:left="340" w:hanging="340"/>
      </w:pPr>
      <w:r>
        <w:rPr>
          <w:rFonts w:ascii="Arial" w:cs="Arial" w:eastAsia="Arial" w:hAnsi="Arial"/>
          <w:b/>
          <w:bCs/>
          <w:color w:val="6B4C9A"/>
          <w:sz w:val="19"/>
          <w:szCs w:val="19"/>
        </w:rPr>
        <w:t xml:space="preserve">12.7  </w:t>
      </w:r>
      <w:r>
        <w:rPr>
          <w:rFonts w:ascii="Arial" w:cs="Arial" w:eastAsia="Arial" w:hAnsi="Arial"/>
          <w:b/>
          <w:bCs/>
          <w:color w:val="1F2430"/>
          <w:sz w:val="19"/>
          <w:szCs w:val="19"/>
        </w:rPr>
        <w:t xml:space="preserve">Amendment. </w:t>
      </w:r>
      <w:r>
        <w:rPr>
          <w:rFonts w:ascii="Arial" w:cs="Arial" w:eastAsia="Arial" w:hAnsi="Arial"/>
          <w:color w:val="1F2430"/>
          <w:sz w:val="19"/>
          <w:szCs w:val="19"/>
        </w:rPr>
        <w:t xml:space="preserve">This Agreement may be amended only in writing, signed by both Parties.</w:t>
      </w:r>
    </w:p>
    <w:p>
      <w:pPr>
        <w:keepNext w:val="false"/>
        <w:spacing w:after="100" w:before="0" w:line="268"/>
        <w:ind w:left="340" w:hanging="340"/>
      </w:pPr>
      <w:r>
        <w:rPr>
          <w:rFonts w:ascii="Arial" w:cs="Arial" w:eastAsia="Arial" w:hAnsi="Arial"/>
          <w:b/>
          <w:bCs/>
          <w:color w:val="6B4C9A"/>
          <w:sz w:val="19"/>
          <w:szCs w:val="19"/>
        </w:rPr>
        <w:t xml:space="preserve">12.8  </w:t>
      </w:r>
      <w:r>
        <w:rPr>
          <w:rFonts w:ascii="Arial" w:cs="Arial" w:eastAsia="Arial" w:hAnsi="Arial"/>
          <w:b/>
          <w:bCs/>
          <w:color w:val="1F2430"/>
          <w:sz w:val="19"/>
          <w:szCs w:val="19"/>
        </w:rPr>
        <w:t xml:space="preserve">Electronic signature. </w:t>
      </w:r>
      <w:r>
        <w:rPr>
          <w:rFonts w:ascii="Arial" w:cs="Arial" w:eastAsia="Arial" w:hAnsi="Arial"/>
          <w:color w:val="1F2430"/>
          <w:sz w:val="19"/>
          <w:szCs w:val="19"/>
        </w:rPr>
        <w:t xml:space="preserve">This Agreement may be executed electronically. Electronic signatures are valid and binding under the federal Electronic Signatures in Global and National Commerce Act (E-SIGN) and the New York Electronic Signatures and Records Act (ESRA).</w:t>
      </w:r>
    </w:p>
    <w:p>
      <w:pPr>
        <w:keepNext w:val="false"/>
        <w:spacing w:after="100" w:before="0" w:line="268"/>
        <w:ind w:left="340" w:hanging="340"/>
      </w:pPr>
      <w:r>
        <w:rPr>
          <w:rFonts w:ascii="Arial" w:cs="Arial" w:eastAsia="Arial" w:hAnsi="Arial"/>
          <w:b/>
          <w:bCs/>
          <w:color w:val="6B4C9A"/>
          <w:sz w:val="19"/>
          <w:szCs w:val="19"/>
        </w:rPr>
        <w:t xml:space="preserve">12.9  </w:t>
      </w:r>
      <w:r>
        <w:rPr>
          <w:rFonts w:ascii="Arial" w:cs="Arial" w:eastAsia="Arial" w:hAnsi="Arial"/>
          <w:b/>
          <w:bCs/>
          <w:color w:val="1F2430"/>
          <w:sz w:val="19"/>
          <w:szCs w:val="19"/>
        </w:rPr>
        <w:t xml:space="preserve">Entire agreement, severability, counterparts. </w:t>
      </w:r>
      <w:r>
        <w:rPr>
          <w:rFonts w:ascii="Arial" w:cs="Arial" w:eastAsia="Arial" w:hAnsi="Arial"/>
          <w:color w:val="1F2430"/>
          <w:sz w:val="19"/>
          <w:szCs w:val="19"/>
        </w:rPr>
        <w:t xml:space="preserve">This Agreement, together with Schedule A and the companion documents named in Article 7.1, is the entire agreement of the Parties on its subject matter. If any provision is held unenforceable, the remainder continues in effect. This Agreement may be executed in counterparts, each of which is an original.</w:t>
      </w:r>
    </w:p>
    <w:p>
      <w:pPr>
        <w:keepNext/>
        <w:pBdr>
          <w:bottom w:val="single" w:color="DFDAEC" w:sz="6" w:space="4"/>
        </w:pBdr>
        <w:spacing w:after="100" w:before="260"/>
      </w:pPr>
      <w:r>
        <w:rPr>
          <w:rFonts w:ascii="Arial" w:cs="Arial" w:eastAsia="Arial" w:hAnsi="Arial"/>
          <w:b/>
          <w:bCs/>
          <w:color w:val="6B4C9A"/>
          <w:sz w:val="23"/>
          <w:szCs w:val="23"/>
        </w:rPr>
        <w:t xml:space="preserve">Signatures</w:t>
      </w:r>
    </w:p>
    <w:p>
      <w:pPr>
        <w:keepNext/>
        <w:spacing w:after="90" w:before="0" w:line="268"/>
      </w:pPr>
      <w:r>
        <w:rPr>
          <w:rFonts w:ascii="Arial" w:cs="Arial" w:eastAsia="Arial" w:hAnsi="Arial"/>
          <w:b w:val="false"/>
          <w:bCs w:val="false"/>
          <w:i w:val="false"/>
          <w:iCs w:val="false"/>
          <w:color w:val="1F2430"/>
          <w:sz w:val="19"/>
          <w:szCs w:val="19"/>
        </w:rPr>
        <w:t xml:space="preserve">Each person signing below represents that they are authorized to execute this Agreement on behalf of the Party for which they sign.</w:t>
      </w:r>
    </w:p>
    <w:p>
      <w:pPr>
        <w:keepNext/>
        <w:spacing w:after="0" w:before="0" w:line="120"/>
      </w:pPr>
      <w:r>
        <w:rPr>
          <w:rFonts w:ascii="Arial" w:cs="Arial" w:eastAsia="Arial" w:hAnsi="Arial"/>
          <w:sz w:val="2"/>
          <w:szCs w:val="2"/>
        </w:rPr>
        <w:t xml:space="preserve"/>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5040"/>
        <w:gridCol w:w="5040"/>
      </w:tblGrid>
      <w:tr>
        <w:trPr>
          <w:cantSplit/>
        </w:trPr>
        <w:tc>
          <w:tcPr>
            <w:tcW w:type="dxa" w:w="5040"/>
            <w:tcBorders>
              <w:top w:val="none" w:color="auto" w:sz="0"/>
              <w:left w:val="none" w:color="auto" w:sz="0"/>
              <w:bottom w:val="none" w:color="auto" w:sz="0"/>
              <w:right w:val="none" w:color="auto" w:sz="0"/>
            </w:tcBorders>
            <w:tcMar>
              <w:top w:type="dxa" w:w="120"/>
              <w:left w:type="dxa" w:w="0"/>
              <w:bottom w:type="dxa" w:w="120"/>
              <w:right w:type="dxa" w:w="220"/>
            </w:tcMar>
          </w:tcPr>
          <w:p>
            <w:pPr>
              <w:keepNext/>
              <w:spacing w:after="100" w:before="0"/>
            </w:pPr>
            <w:r>
              <w:rPr>
                <w:rFonts w:ascii="Arial" w:cs="Arial" w:eastAsia="Arial" w:hAnsi="Arial"/>
                <w:b/>
                <w:bCs/>
                <w:color w:val="6B4C9A"/>
                <w:sz w:val="19"/>
                <w:szCs w:val="19"/>
              </w:rPr>
              <w:t xml:space="preserve">FACILITY</w:t>
            </w:r>
          </w:p>
          <w:p>
            <w:pPr>
              <w:spacing w:after="20" w:before="200"/>
            </w:pPr>
            <w:r>
              <w:rPr>
                <w:rFonts w:ascii="Arial" w:cs="Arial" w:eastAsia="Arial" w:hAnsi="Arial"/>
                <w:color w:val="1F2430"/>
                <w:sz w:val="19"/>
                <w:szCs w:val="19"/>
              </w:rPr>
              <w:t xml:space="preserve">_______________________________________</w:t>
            </w:r>
          </w:p>
          <w:p>
            <w:pPr>
              <w:spacing w:after="120" w:before="0"/>
            </w:pPr>
            <w:r>
              <w:rPr>
                <w:rFonts w:ascii="Arial" w:cs="Arial" w:eastAsia="Arial" w:hAnsi="Arial"/>
                <w:color w:val="5C6270"/>
                <w:sz w:val="16"/>
                <w:szCs w:val="16"/>
              </w:rPr>
              <w:t xml:space="preserve">Signature</w:t>
            </w:r>
          </w:p>
          <w:p>
            <w:pPr>
              <w:spacing w:after="20" w:before="0"/>
            </w:pPr>
            <w:r>
              <w:rPr>
                <w:rFonts w:ascii="Arial" w:cs="Arial" w:eastAsia="Arial" w:hAnsi="Arial"/>
                <w:color w:val="1F2430"/>
                <w:sz w:val="18"/>
                <w:szCs w:val="18"/>
              </w:rPr>
              <w:t xml:space="preserve">Name:  _______________________________________</w:t>
            </w:r>
          </w:p>
          <w:p>
            <w:pPr>
              <w:spacing w:after="20" w:before="0"/>
            </w:pPr>
            <w:r>
              <w:rPr>
                <w:rFonts w:ascii="Arial" w:cs="Arial" w:eastAsia="Arial" w:hAnsi="Arial"/>
                <w:color w:val="1F2430"/>
                <w:sz w:val="18"/>
                <w:szCs w:val="18"/>
              </w:rPr>
              <w:t xml:space="preserve">Title:  _______________________________________</w:t>
            </w:r>
          </w:p>
          <w:p>
            <w:pPr>
              <w:spacing w:after="0" w:before="0"/>
            </w:pPr>
            <w:r>
              <w:rPr>
                <w:rFonts w:ascii="Arial" w:cs="Arial" w:eastAsia="Arial" w:hAnsi="Arial"/>
                <w:color w:val="1F2430"/>
                <w:sz w:val="18"/>
                <w:szCs w:val="18"/>
              </w:rPr>
              <w:t xml:space="preserve">Date:  _______________________________________</w:t>
            </w:r>
          </w:p>
        </w:tc>
        <w:tc>
          <w:tcPr>
            <w:tcW w:type="dxa" w:w="5040"/>
            <w:tcBorders>
              <w:top w:val="none" w:color="auto" w:sz="0"/>
              <w:left w:val="none" w:color="auto" w:sz="0"/>
              <w:bottom w:val="none" w:color="auto" w:sz="0"/>
              <w:right w:val="none" w:color="auto" w:sz="0"/>
            </w:tcBorders>
            <w:tcMar>
              <w:top w:type="dxa" w:w="120"/>
              <w:left w:type="dxa" w:w="220"/>
              <w:bottom w:type="dxa" w:w="120"/>
              <w:right w:type="dxa" w:w="0"/>
            </w:tcMar>
          </w:tcPr>
          <w:p>
            <w:pPr>
              <w:keepNext/>
              <w:spacing w:after="100" w:before="0"/>
            </w:pPr>
            <w:r>
              <w:rPr>
                <w:rFonts w:ascii="Arial" w:cs="Arial" w:eastAsia="Arial" w:hAnsi="Arial"/>
                <w:b/>
                <w:bCs/>
                <w:color w:val="6B4C9A"/>
                <w:sz w:val="19"/>
                <w:szCs w:val="19"/>
              </w:rPr>
              <w:t xml:space="preserve">CARETECH GROUP, LLC</w:t>
            </w:r>
          </w:p>
          <w:p>
            <w:pPr>
              <w:spacing w:after="20" w:before="200"/>
            </w:pPr>
            <w:r>
              <w:rPr>
                <w:rFonts w:ascii="Arial" w:cs="Arial" w:eastAsia="Arial" w:hAnsi="Arial"/>
                <w:color w:val="1F2430"/>
                <w:sz w:val="19"/>
                <w:szCs w:val="19"/>
              </w:rPr>
              <w:t xml:space="preserve">_______________________________________</w:t>
            </w:r>
          </w:p>
          <w:p>
            <w:pPr>
              <w:spacing w:after="120" w:before="0"/>
            </w:pPr>
            <w:r>
              <w:rPr>
                <w:rFonts w:ascii="Arial" w:cs="Arial" w:eastAsia="Arial" w:hAnsi="Arial"/>
                <w:color w:val="5C6270"/>
                <w:sz w:val="16"/>
                <w:szCs w:val="16"/>
              </w:rPr>
              <w:t xml:space="preserve">Signature</w:t>
            </w:r>
          </w:p>
          <w:p>
            <w:pPr>
              <w:spacing w:after="20" w:before="0"/>
            </w:pPr>
            <w:r>
              <w:rPr>
                <w:rFonts w:ascii="Arial" w:cs="Arial" w:eastAsia="Arial" w:hAnsi="Arial"/>
                <w:color w:val="1F2430"/>
                <w:sz w:val="18"/>
                <w:szCs w:val="18"/>
              </w:rPr>
              <w:t xml:space="preserve">Name:  Paul Hellman</w:t>
            </w:r>
          </w:p>
          <w:p>
            <w:pPr>
              <w:spacing w:after="20" w:before="0"/>
            </w:pPr>
            <w:r>
              <w:rPr>
                <w:rFonts w:ascii="Arial" w:cs="Arial" w:eastAsia="Arial" w:hAnsi="Arial"/>
                <w:color w:val="1F2430"/>
                <w:sz w:val="18"/>
                <w:szCs w:val="18"/>
              </w:rPr>
              <w:t xml:space="preserve">Title:  LNHA, CEO</w:t>
            </w:r>
          </w:p>
          <w:p>
            <w:pPr>
              <w:spacing w:after="0" w:before="0"/>
            </w:pPr>
            <w:r>
              <w:rPr>
                <w:rFonts w:ascii="Arial" w:cs="Arial" w:eastAsia="Arial" w:hAnsi="Arial"/>
                <w:color w:val="1F2430"/>
                <w:sz w:val="18"/>
                <w:szCs w:val="18"/>
              </w:rPr>
              <w:t xml:space="preserve">Date:  _______________________________________</w:t>
            </w:r>
          </w:p>
        </w:tc>
      </w:tr>
    </w:tbl>
    <w:p>
      <w:pPr>
        <w:keepNext/>
        <w:pBdr>
          <w:bottom w:val="single" w:color="DFDAEC" w:sz="6" w:space="4"/>
        </w:pBdr>
        <w:spacing w:after="100" w:before="260"/>
      </w:pPr>
      <w:r>
        <w:rPr>
          <w:rFonts w:ascii="Arial" w:cs="Arial" w:eastAsia="Arial" w:hAnsi="Arial"/>
          <w:b/>
          <w:bCs/>
          <w:color w:val="6B4C9A"/>
          <w:sz w:val="23"/>
          <w:szCs w:val="23"/>
        </w:rPr>
        <w:t xml:space="preserve">Schedule A.  Facility Specific Terms</w:t>
      </w:r>
    </w:p>
    <w:p>
      <w:pPr>
        <w:keepNext/>
        <w:spacing w:after="90" w:before="0" w:line="268"/>
      </w:pPr>
      <w:r>
        <w:rPr>
          <w:rFonts w:ascii="Arial" w:cs="Arial" w:eastAsia="Arial" w:hAnsi="Arial"/>
          <w:b w:val="false"/>
          <w:bCs w:val="false"/>
          <w:i w:val="false"/>
          <w:iCs w:val="false"/>
          <w:color w:val="1F2430"/>
          <w:sz w:val="19"/>
          <w:szCs w:val="19"/>
        </w:rPr>
        <w:t xml:space="preserve">Completed separately for each participating facility. This Schedule forms part of the Agreement.</w:t>
      </w:r>
    </w:p>
    <w:p>
      <w:pPr>
        <w:keepNext/>
        <w:spacing w:after="0" w:before="0" w:line="120"/>
      </w:pPr>
      <w:r>
        <w:rPr>
          <w:rFonts w:ascii="Arial" w:cs="Arial" w:eastAsia="Arial" w:hAnsi="Arial"/>
          <w:sz w:val="2"/>
          <w:szCs w:val="2"/>
        </w:rPr>
        <w:t xml:space="preserve"/>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900"/>
        <w:gridCol w:w="6180"/>
      </w:tblGrid>
      <w:tr>
        <w:trPr>
          <w:cantSplit/>
        </w:trPr>
        <w:tc>
          <w:tcPr>
            <w:tcW w:type="dxa" w:w="3900"/>
            <w:tcBorders>
              <w:top w:val="single" w:color="DFDAEC" w:sz="1"/>
              <w:left w:val="single" w:color="DFDAEC" w:sz="1"/>
              <w:bottom w:val="single" w:color="DFDAEC" w:sz="1"/>
              <w:right w:val="single" w:color="DFDAEC" w:sz="1"/>
            </w:tcBorders>
            <w:shd w:fill="F6F4FA" w:color="auto" w:val="clear"/>
            <w:tcMar>
              <w:top w:type="dxa" w:w="90"/>
              <w:left w:type="dxa" w:w="130"/>
              <w:bottom w:type="dxa" w:w="90"/>
              <w:right w:type="dxa" w:w="130"/>
            </w:tcMar>
            <w:vAlign w:val="center"/>
          </w:tcPr>
          <w:p>
            <w:pPr>
              <w:spacing w:after="0" w:before="0" w:line="250"/>
            </w:pPr>
            <w:r>
              <w:rPr>
                <w:rFonts w:ascii="Arial" w:cs="Arial" w:eastAsia="Arial" w:hAnsi="Arial"/>
                <w:b/>
                <w:bCs/>
                <w:i w:val="false"/>
                <w:iCs w:val="false"/>
                <w:color w:val="1F2430"/>
                <w:sz w:val="18"/>
                <w:szCs w:val="18"/>
              </w:rPr>
              <w:t xml:space="preserve">Facility legal name</w:t>
            </w:r>
          </w:p>
        </w:tc>
        <w:tc>
          <w:tcPr>
            <w:tcW w:type="dxa" w:w="6180"/>
            <w:tcBorders>
              <w:top w:val="single" w:color="DFDAEC" w:sz="1"/>
              <w:left w:val="single" w:color="DFDAEC" w:sz="1"/>
              <w:bottom w:val="single" w:color="DFDAEC" w:sz="1"/>
              <w:right w:val="single" w:color="DFDAEC" w:sz="1"/>
            </w:tcBorders>
            <w:shd w:fill="FFFFFF" w:color="auto" w:val="clear"/>
            <w:tcMar>
              <w:top w:type="dxa" w:w="90"/>
              <w:left w:type="dxa" w:w="130"/>
              <w:bottom w:type="dxa" w:w="90"/>
              <w:right w:type="dxa" w:w="130"/>
            </w:tcMar>
            <w:vAlign w:val="center"/>
          </w:tcPr>
          <w:p>
            <w:pPr>
              <w:spacing w:after="0" w:before="0" w:line="250"/>
            </w:pPr>
            <w:r>
              <w:rPr>
                <w:rFonts w:ascii="Arial" w:cs="Arial" w:eastAsia="Arial" w:hAnsi="Arial"/>
                <w:b w:val="false"/>
                <w:bCs w:val="false"/>
                <w:i w:val="false"/>
                <w:iCs w:val="false"/>
                <w:color w:val="5C6270"/>
                <w:sz w:val="18"/>
                <w:szCs w:val="18"/>
              </w:rPr>
              <w:t xml:space="preserve"/>
            </w:r>
          </w:p>
        </w:tc>
      </w:tr>
      <w:tr>
        <w:trPr>
          <w:cantSplit/>
        </w:trPr>
        <w:tc>
          <w:tcPr>
            <w:tcW w:type="dxa" w:w="3900"/>
            <w:tcBorders>
              <w:top w:val="single" w:color="DFDAEC" w:sz="1"/>
              <w:left w:val="single" w:color="DFDAEC" w:sz="1"/>
              <w:bottom w:val="single" w:color="DFDAEC" w:sz="1"/>
              <w:right w:val="single" w:color="DFDAEC" w:sz="1"/>
            </w:tcBorders>
            <w:shd w:fill="F6F4FA" w:color="auto" w:val="clear"/>
            <w:tcMar>
              <w:top w:type="dxa" w:w="90"/>
              <w:left w:type="dxa" w:w="130"/>
              <w:bottom w:type="dxa" w:w="90"/>
              <w:right w:type="dxa" w:w="130"/>
            </w:tcMar>
            <w:vAlign w:val="center"/>
          </w:tcPr>
          <w:p>
            <w:pPr>
              <w:spacing w:after="0" w:before="0" w:line="250"/>
            </w:pPr>
            <w:r>
              <w:rPr>
                <w:rFonts w:ascii="Arial" w:cs="Arial" w:eastAsia="Arial" w:hAnsi="Arial"/>
                <w:b/>
                <w:bCs/>
                <w:i w:val="false"/>
                <w:iCs w:val="false"/>
                <w:color w:val="1F2430"/>
                <w:sz w:val="18"/>
                <w:szCs w:val="18"/>
              </w:rPr>
              <w:t xml:space="preserve">CMS Certification Number (CCN)</w:t>
            </w:r>
          </w:p>
        </w:tc>
        <w:tc>
          <w:tcPr>
            <w:tcW w:type="dxa" w:w="6180"/>
            <w:tcBorders>
              <w:top w:val="single" w:color="DFDAEC" w:sz="1"/>
              <w:left w:val="single" w:color="DFDAEC" w:sz="1"/>
              <w:bottom w:val="single" w:color="DFDAEC" w:sz="1"/>
              <w:right w:val="single" w:color="DFDAEC" w:sz="1"/>
            </w:tcBorders>
            <w:shd w:fill="FFFFFF" w:color="auto" w:val="clear"/>
            <w:tcMar>
              <w:top w:type="dxa" w:w="90"/>
              <w:left w:type="dxa" w:w="130"/>
              <w:bottom w:type="dxa" w:w="90"/>
              <w:right w:type="dxa" w:w="130"/>
            </w:tcMar>
            <w:vAlign w:val="center"/>
          </w:tcPr>
          <w:p>
            <w:pPr>
              <w:spacing w:after="0" w:before="0" w:line="250"/>
            </w:pPr>
            <w:r>
              <w:rPr>
                <w:rFonts w:ascii="Arial" w:cs="Arial" w:eastAsia="Arial" w:hAnsi="Arial"/>
                <w:b w:val="false"/>
                <w:bCs w:val="false"/>
                <w:i w:val="false"/>
                <w:iCs w:val="false"/>
                <w:color w:val="5C6270"/>
                <w:sz w:val="18"/>
                <w:szCs w:val="18"/>
              </w:rPr>
              <w:t xml:space="preserve"/>
            </w:r>
          </w:p>
        </w:tc>
      </w:tr>
      <w:tr>
        <w:trPr>
          <w:cantSplit/>
        </w:trPr>
        <w:tc>
          <w:tcPr>
            <w:tcW w:type="dxa" w:w="3900"/>
            <w:tcBorders>
              <w:top w:val="single" w:color="DFDAEC" w:sz="1"/>
              <w:left w:val="single" w:color="DFDAEC" w:sz="1"/>
              <w:bottom w:val="single" w:color="DFDAEC" w:sz="1"/>
              <w:right w:val="single" w:color="DFDAEC" w:sz="1"/>
            </w:tcBorders>
            <w:shd w:fill="F6F4FA" w:color="auto" w:val="clear"/>
            <w:tcMar>
              <w:top w:type="dxa" w:w="90"/>
              <w:left w:type="dxa" w:w="130"/>
              <w:bottom w:type="dxa" w:w="90"/>
              <w:right w:type="dxa" w:w="130"/>
            </w:tcMar>
            <w:vAlign w:val="center"/>
          </w:tcPr>
          <w:p>
            <w:pPr>
              <w:spacing w:after="0" w:before="0" w:line="250"/>
            </w:pPr>
            <w:r>
              <w:rPr>
                <w:rFonts w:ascii="Arial" w:cs="Arial" w:eastAsia="Arial" w:hAnsi="Arial"/>
                <w:b/>
                <w:bCs/>
                <w:i w:val="false"/>
                <w:iCs w:val="false"/>
                <w:color w:val="1F2430"/>
                <w:sz w:val="18"/>
                <w:szCs w:val="18"/>
              </w:rPr>
              <w:t xml:space="preserve">Pilot unit, wing, or floor</w:t>
            </w:r>
          </w:p>
        </w:tc>
        <w:tc>
          <w:tcPr>
            <w:tcW w:type="dxa" w:w="6180"/>
            <w:tcBorders>
              <w:top w:val="single" w:color="DFDAEC" w:sz="1"/>
              <w:left w:val="single" w:color="DFDAEC" w:sz="1"/>
              <w:bottom w:val="single" w:color="DFDAEC" w:sz="1"/>
              <w:right w:val="single" w:color="DFDAEC" w:sz="1"/>
            </w:tcBorders>
            <w:shd w:fill="FFFFFF" w:color="auto" w:val="clear"/>
            <w:tcMar>
              <w:top w:type="dxa" w:w="90"/>
              <w:left w:type="dxa" w:w="130"/>
              <w:bottom w:type="dxa" w:w="90"/>
              <w:right w:type="dxa" w:w="130"/>
            </w:tcMar>
            <w:vAlign w:val="center"/>
          </w:tcPr>
          <w:p>
            <w:pPr>
              <w:spacing w:after="0" w:before="0" w:line="250"/>
            </w:pPr>
            <w:r>
              <w:rPr>
                <w:rFonts w:ascii="Arial" w:cs="Arial" w:eastAsia="Arial" w:hAnsi="Arial"/>
                <w:b w:val="false"/>
                <w:bCs w:val="false"/>
                <w:i w:val="false"/>
                <w:iCs w:val="false"/>
                <w:color w:val="5C6270"/>
                <w:sz w:val="18"/>
                <w:szCs w:val="18"/>
              </w:rPr>
              <w:t xml:space="preserve"/>
            </w:r>
          </w:p>
        </w:tc>
      </w:tr>
      <w:tr>
        <w:trPr>
          <w:cantSplit/>
        </w:trPr>
        <w:tc>
          <w:tcPr>
            <w:tcW w:type="dxa" w:w="3900"/>
            <w:tcBorders>
              <w:top w:val="single" w:color="DFDAEC" w:sz="1"/>
              <w:left w:val="single" w:color="DFDAEC" w:sz="1"/>
              <w:bottom w:val="single" w:color="DFDAEC" w:sz="1"/>
              <w:right w:val="single" w:color="DFDAEC" w:sz="1"/>
            </w:tcBorders>
            <w:shd w:fill="F6F4FA" w:color="auto" w:val="clear"/>
            <w:tcMar>
              <w:top w:type="dxa" w:w="90"/>
              <w:left w:type="dxa" w:w="130"/>
              <w:bottom w:type="dxa" w:w="90"/>
              <w:right w:type="dxa" w:w="130"/>
            </w:tcMar>
            <w:vAlign w:val="center"/>
          </w:tcPr>
          <w:p>
            <w:pPr>
              <w:spacing w:after="0" w:before="0" w:line="250"/>
            </w:pPr>
            <w:r>
              <w:rPr>
                <w:rFonts w:ascii="Arial" w:cs="Arial" w:eastAsia="Arial" w:hAnsi="Arial"/>
                <w:b/>
                <w:bCs/>
                <w:i w:val="false"/>
                <w:iCs w:val="false"/>
                <w:color w:val="1F2430"/>
                <w:sz w:val="18"/>
                <w:szCs w:val="18"/>
              </w:rPr>
              <w:t xml:space="preserve">Rooms within pilot scope</w:t>
            </w:r>
          </w:p>
        </w:tc>
        <w:tc>
          <w:tcPr>
            <w:tcW w:type="dxa" w:w="6180"/>
            <w:tcBorders>
              <w:top w:val="single" w:color="DFDAEC" w:sz="1"/>
              <w:left w:val="single" w:color="DFDAEC" w:sz="1"/>
              <w:bottom w:val="single" w:color="DFDAEC" w:sz="1"/>
              <w:right w:val="single" w:color="DFDAEC" w:sz="1"/>
            </w:tcBorders>
            <w:shd w:fill="FFFFFF" w:color="auto" w:val="clear"/>
            <w:tcMar>
              <w:top w:type="dxa" w:w="90"/>
              <w:left w:type="dxa" w:w="130"/>
              <w:bottom w:type="dxa" w:w="90"/>
              <w:right w:type="dxa" w:w="130"/>
            </w:tcMar>
            <w:vAlign w:val="center"/>
          </w:tcPr>
          <w:p>
            <w:pPr>
              <w:spacing w:after="0" w:before="0" w:line="250"/>
            </w:pPr>
            <w:r>
              <w:rPr>
                <w:rFonts w:ascii="Arial" w:cs="Arial" w:eastAsia="Arial" w:hAnsi="Arial"/>
                <w:b w:val="false"/>
                <w:bCs w:val="false"/>
                <w:i w:val="false"/>
                <w:iCs w:val="false"/>
                <w:color w:val="5C6270"/>
                <w:sz w:val="18"/>
                <w:szCs w:val="18"/>
              </w:rPr>
              <w:t xml:space="preserve"/>
            </w:r>
          </w:p>
        </w:tc>
      </w:tr>
      <w:tr>
        <w:trPr>
          <w:cantSplit/>
        </w:trPr>
        <w:tc>
          <w:tcPr>
            <w:tcW w:type="dxa" w:w="3900"/>
            <w:tcBorders>
              <w:top w:val="single" w:color="DFDAEC" w:sz="1"/>
              <w:left w:val="single" w:color="DFDAEC" w:sz="1"/>
              <w:bottom w:val="single" w:color="DFDAEC" w:sz="1"/>
              <w:right w:val="single" w:color="DFDAEC" w:sz="1"/>
            </w:tcBorders>
            <w:shd w:fill="F6F4FA" w:color="auto" w:val="clear"/>
            <w:tcMar>
              <w:top w:type="dxa" w:w="90"/>
              <w:left w:type="dxa" w:w="130"/>
              <w:bottom w:type="dxa" w:w="90"/>
              <w:right w:type="dxa" w:w="130"/>
            </w:tcMar>
            <w:vAlign w:val="center"/>
          </w:tcPr>
          <w:p>
            <w:pPr>
              <w:spacing w:after="0" w:before="0" w:line="250"/>
            </w:pPr>
            <w:r>
              <w:rPr>
                <w:rFonts w:ascii="Arial" w:cs="Arial" w:eastAsia="Arial" w:hAnsi="Arial"/>
                <w:b/>
                <w:bCs/>
                <w:i w:val="false"/>
                <w:iCs w:val="false"/>
                <w:color w:val="1F2430"/>
                <w:sz w:val="18"/>
                <w:szCs w:val="18"/>
              </w:rPr>
              <w:t xml:space="preserve">Residents in scope at Phase 5 start</w:t>
            </w:r>
          </w:p>
        </w:tc>
        <w:tc>
          <w:tcPr>
            <w:tcW w:type="dxa" w:w="6180"/>
            <w:tcBorders>
              <w:top w:val="single" w:color="DFDAEC" w:sz="1"/>
              <w:left w:val="single" w:color="DFDAEC" w:sz="1"/>
              <w:bottom w:val="single" w:color="DFDAEC" w:sz="1"/>
              <w:right w:val="single" w:color="DFDAEC" w:sz="1"/>
            </w:tcBorders>
            <w:shd w:fill="FFFFFF" w:color="auto" w:val="clear"/>
            <w:tcMar>
              <w:top w:type="dxa" w:w="90"/>
              <w:left w:type="dxa" w:w="130"/>
              <w:bottom w:type="dxa" w:w="90"/>
              <w:right w:type="dxa" w:w="130"/>
            </w:tcMar>
            <w:vAlign w:val="center"/>
          </w:tcPr>
          <w:p>
            <w:pPr>
              <w:spacing w:after="0" w:before="0" w:line="250"/>
            </w:pPr>
            <w:r>
              <w:rPr>
                <w:rFonts w:ascii="Arial" w:cs="Arial" w:eastAsia="Arial" w:hAnsi="Arial"/>
                <w:b w:val="false"/>
                <w:bCs w:val="false"/>
                <w:i w:val="false"/>
                <w:iCs w:val="false"/>
                <w:color w:val="5C6270"/>
                <w:sz w:val="18"/>
                <w:szCs w:val="18"/>
              </w:rPr>
              <w:t xml:space="preserve"/>
            </w:r>
          </w:p>
        </w:tc>
      </w:tr>
      <w:tr>
        <w:trPr>
          <w:cantSplit/>
        </w:trPr>
        <w:tc>
          <w:tcPr>
            <w:tcW w:type="dxa" w:w="3900"/>
            <w:tcBorders>
              <w:top w:val="single" w:color="DFDAEC" w:sz="1"/>
              <w:left w:val="single" w:color="DFDAEC" w:sz="1"/>
              <w:bottom w:val="single" w:color="DFDAEC" w:sz="1"/>
              <w:right w:val="single" w:color="DFDAEC" w:sz="1"/>
            </w:tcBorders>
            <w:shd w:fill="F6F4FA" w:color="auto" w:val="clear"/>
            <w:tcMar>
              <w:top w:type="dxa" w:w="90"/>
              <w:left w:type="dxa" w:w="130"/>
              <w:bottom w:type="dxa" w:w="90"/>
              <w:right w:type="dxa" w:w="130"/>
            </w:tcMar>
            <w:vAlign w:val="center"/>
          </w:tcPr>
          <w:p>
            <w:pPr>
              <w:spacing w:after="0" w:before="0" w:line="250"/>
            </w:pPr>
            <w:r>
              <w:rPr>
                <w:rFonts w:ascii="Arial" w:cs="Arial" w:eastAsia="Arial" w:hAnsi="Arial"/>
                <w:b/>
                <w:bCs/>
                <w:i w:val="false"/>
                <w:iCs w:val="false"/>
                <w:color w:val="1F2430"/>
                <w:sz w:val="18"/>
                <w:szCs w:val="18"/>
              </w:rPr>
              <w:t xml:space="preserve">Shift or shifts in scope</w:t>
            </w:r>
          </w:p>
        </w:tc>
        <w:tc>
          <w:tcPr>
            <w:tcW w:type="dxa" w:w="6180"/>
            <w:tcBorders>
              <w:top w:val="single" w:color="DFDAEC" w:sz="1"/>
              <w:left w:val="single" w:color="DFDAEC" w:sz="1"/>
              <w:bottom w:val="single" w:color="DFDAEC" w:sz="1"/>
              <w:right w:val="single" w:color="DFDAEC" w:sz="1"/>
            </w:tcBorders>
            <w:shd w:fill="FFFFFF" w:color="auto" w:val="clear"/>
            <w:tcMar>
              <w:top w:type="dxa" w:w="90"/>
              <w:left w:type="dxa" w:w="130"/>
              <w:bottom w:type="dxa" w:w="90"/>
              <w:right w:type="dxa" w:w="130"/>
            </w:tcMar>
            <w:vAlign w:val="center"/>
          </w:tcPr>
          <w:p>
            <w:pPr>
              <w:spacing w:after="0" w:before="0" w:line="250"/>
            </w:pPr>
            <w:r>
              <w:rPr>
                <w:rFonts w:ascii="Arial" w:cs="Arial" w:eastAsia="Arial" w:hAnsi="Arial"/>
                <w:b w:val="false"/>
                <w:bCs w:val="false"/>
                <w:i w:val="false"/>
                <w:iCs w:val="false"/>
                <w:color w:val="5C6270"/>
                <w:sz w:val="18"/>
                <w:szCs w:val="18"/>
              </w:rPr>
              <w:t xml:space="preserve"/>
            </w:r>
          </w:p>
        </w:tc>
      </w:tr>
      <w:tr>
        <w:trPr>
          <w:cantSplit/>
        </w:trPr>
        <w:tc>
          <w:tcPr>
            <w:tcW w:type="dxa" w:w="3900"/>
            <w:tcBorders>
              <w:top w:val="single" w:color="DFDAEC" w:sz="1"/>
              <w:left w:val="single" w:color="DFDAEC" w:sz="1"/>
              <w:bottom w:val="single" w:color="DFDAEC" w:sz="1"/>
              <w:right w:val="single" w:color="DFDAEC" w:sz="1"/>
            </w:tcBorders>
            <w:shd w:fill="F6F4FA" w:color="auto" w:val="clear"/>
            <w:tcMar>
              <w:top w:type="dxa" w:w="90"/>
              <w:left w:type="dxa" w:w="130"/>
              <w:bottom w:type="dxa" w:w="90"/>
              <w:right w:type="dxa" w:w="130"/>
            </w:tcMar>
            <w:vAlign w:val="center"/>
          </w:tcPr>
          <w:p>
            <w:pPr>
              <w:spacing w:after="0" w:before="0" w:line="250"/>
            </w:pPr>
            <w:r>
              <w:rPr>
                <w:rFonts w:ascii="Arial" w:cs="Arial" w:eastAsia="Arial" w:hAnsi="Arial"/>
                <w:b/>
                <w:bCs/>
                <w:i w:val="false"/>
                <w:iCs w:val="false"/>
                <w:color w:val="1F2430"/>
                <w:sz w:val="18"/>
                <w:szCs w:val="18"/>
              </w:rPr>
              <w:t xml:space="preserve">Clinical point person</w:t>
            </w:r>
          </w:p>
        </w:tc>
        <w:tc>
          <w:tcPr>
            <w:tcW w:type="dxa" w:w="6180"/>
            <w:tcBorders>
              <w:top w:val="single" w:color="DFDAEC" w:sz="1"/>
              <w:left w:val="single" w:color="DFDAEC" w:sz="1"/>
              <w:bottom w:val="single" w:color="DFDAEC" w:sz="1"/>
              <w:right w:val="single" w:color="DFDAEC" w:sz="1"/>
            </w:tcBorders>
            <w:shd w:fill="FFFFFF" w:color="auto" w:val="clear"/>
            <w:tcMar>
              <w:top w:type="dxa" w:w="90"/>
              <w:left w:type="dxa" w:w="130"/>
              <w:bottom w:type="dxa" w:w="90"/>
              <w:right w:type="dxa" w:w="130"/>
            </w:tcMar>
            <w:vAlign w:val="center"/>
          </w:tcPr>
          <w:p>
            <w:pPr>
              <w:spacing w:after="0" w:before="0" w:line="250"/>
            </w:pPr>
            <w:r>
              <w:rPr>
                <w:rFonts w:ascii="Arial" w:cs="Arial" w:eastAsia="Arial" w:hAnsi="Arial"/>
                <w:b w:val="false"/>
                <w:bCs w:val="false"/>
                <w:i w:val="false"/>
                <w:iCs w:val="false"/>
                <w:color w:val="5C6270"/>
                <w:sz w:val="18"/>
                <w:szCs w:val="18"/>
              </w:rPr>
              <w:t xml:space="preserve"/>
            </w:r>
          </w:p>
        </w:tc>
      </w:tr>
      <w:tr>
        <w:trPr>
          <w:cantSplit/>
        </w:trPr>
        <w:tc>
          <w:tcPr>
            <w:tcW w:type="dxa" w:w="3900"/>
            <w:tcBorders>
              <w:top w:val="single" w:color="DFDAEC" w:sz="1"/>
              <w:left w:val="single" w:color="DFDAEC" w:sz="1"/>
              <w:bottom w:val="single" w:color="DFDAEC" w:sz="1"/>
              <w:right w:val="single" w:color="DFDAEC" w:sz="1"/>
            </w:tcBorders>
            <w:shd w:fill="F6F4FA" w:color="auto" w:val="clear"/>
            <w:tcMar>
              <w:top w:type="dxa" w:w="90"/>
              <w:left w:type="dxa" w:w="130"/>
              <w:bottom w:type="dxa" w:w="90"/>
              <w:right w:type="dxa" w:w="130"/>
            </w:tcMar>
            <w:vAlign w:val="center"/>
          </w:tcPr>
          <w:p>
            <w:pPr>
              <w:spacing w:after="0" w:before="0" w:line="250"/>
            </w:pPr>
            <w:r>
              <w:rPr>
                <w:rFonts w:ascii="Arial" w:cs="Arial" w:eastAsia="Arial" w:hAnsi="Arial"/>
                <w:b/>
                <w:bCs/>
                <w:i w:val="false"/>
                <w:iCs w:val="false"/>
                <w:color w:val="1F2430"/>
                <w:sz w:val="18"/>
                <w:szCs w:val="18"/>
              </w:rPr>
              <w:t xml:space="preserve">Clinical alternate</w:t>
            </w:r>
          </w:p>
        </w:tc>
        <w:tc>
          <w:tcPr>
            <w:tcW w:type="dxa" w:w="6180"/>
            <w:tcBorders>
              <w:top w:val="single" w:color="DFDAEC" w:sz="1"/>
              <w:left w:val="single" w:color="DFDAEC" w:sz="1"/>
              <w:bottom w:val="single" w:color="DFDAEC" w:sz="1"/>
              <w:right w:val="single" w:color="DFDAEC" w:sz="1"/>
            </w:tcBorders>
            <w:shd w:fill="FFFFFF" w:color="auto" w:val="clear"/>
            <w:tcMar>
              <w:top w:type="dxa" w:w="90"/>
              <w:left w:type="dxa" w:w="130"/>
              <w:bottom w:type="dxa" w:w="90"/>
              <w:right w:type="dxa" w:w="130"/>
            </w:tcMar>
            <w:vAlign w:val="center"/>
          </w:tcPr>
          <w:p>
            <w:pPr>
              <w:spacing w:after="0" w:before="0" w:line="250"/>
            </w:pPr>
            <w:r>
              <w:rPr>
                <w:rFonts w:ascii="Arial" w:cs="Arial" w:eastAsia="Arial" w:hAnsi="Arial"/>
                <w:b w:val="false"/>
                <w:bCs w:val="false"/>
                <w:i w:val="false"/>
                <w:iCs w:val="false"/>
                <w:color w:val="5C6270"/>
                <w:sz w:val="18"/>
                <w:szCs w:val="18"/>
              </w:rPr>
              <w:t xml:space="preserve"/>
            </w:r>
          </w:p>
        </w:tc>
      </w:tr>
      <w:tr>
        <w:trPr>
          <w:cantSplit/>
        </w:trPr>
        <w:tc>
          <w:tcPr>
            <w:tcW w:type="dxa" w:w="3900"/>
            <w:tcBorders>
              <w:top w:val="single" w:color="DFDAEC" w:sz="1"/>
              <w:left w:val="single" w:color="DFDAEC" w:sz="1"/>
              <w:bottom w:val="single" w:color="DFDAEC" w:sz="1"/>
              <w:right w:val="single" w:color="DFDAEC" w:sz="1"/>
            </w:tcBorders>
            <w:shd w:fill="F6F4FA" w:color="auto" w:val="clear"/>
            <w:tcMar>
              <w:top w:type="dxa" w:w="90"/>
              <w:left w:type="dxa" w:w="130"/>
              <w:bottom w:type="dxa" w:w="90"/>
              <w:right w:type="dxa" w:w="130"/>
            </w:tcMar>
            <w:vAlign w:val="center"/>
          </w:tcPr>
          <w:p>
            <w:pPr>
              <w:spacing w:after="0" w:before="0" w:line="250"/>
            </w:pPr>
            <w:r>
              <w:rPr>
                <w:rFonts w:ascii="Arial" w:cs="Arial" w:eastAsia="Arial" w:hAnsi="Arial"/>
                <w:b/>
                <w:bCs/>
                <w:i w:val="false"/>
                <w:iCs w:val="false"/>
                <w:color w:val="1F2430"/>
                <w:sz w:val="18"/>
                <w:szCs w:val="18"/>
              </w:rPr>
              <w:t xml:space="preserve">Technical contact</w:t>
            </w:r>
          </w:p>
        </w:tc>
        <w:tc>
          <w:tcPr>
            <w:tcW w:type="dxa" w:w="6180"/>
            <w:tcBorders>
              <w:top w:val="single" w:color="DFDAEC" w:sz="1"/>
              <w:left w:val="single" w:color="DFDAEC" w:sz="1"/>
              <w:bottom w:val="single" w:color="DFDAEC" w:sz="1"/>
              <w:right w:val="single" w:color="DFDAEC" w:sz="1"/>
            </w:tcBorders>
            <w:shd w:fill="FFFFFF" w:color="auto" w:val="clear"/>
            <w:tcMar>
              <w:top w:type="dxa" w:w="90"/>
              <w:left w:type="dxa" w:w="130"/>
              <w:bottom w:type="dxa" w:w="90"/>
              <w:right w:type="dxa" w:w="130"/>
            </w:tcMar>
            <w:vAlign w:val="center"/>
          </w:tcPr>
          <w:p>
            <w:pPr>
              <w:spacing w:after="0" w:before="0" w:line="250"/>
            </w:pPr>
            <w:r>
              <w:rPr>
                <w:rFonts w:ascii="Arial" w:cs="Arial" w:eastAsia="Arial" w:hAnsi="Arial"/>
                <w:b w:val="false"/>
                <w:bCs w:val="false"/>
                <w:i w:val="false"/>
                <w:iCs w:val="false"/>
                <w:color w:val="5C6270"/>
                <w:sz w:val="18"/>
                <w:szCs w:val="18"/>
              </w:rPr>
              <w:t xml:space="preserve"/>
            </w:r>
          </w:p>
        </w:tc>
      </w:tr>
      <w:tr>
        <w:trPr>
          <w:cantSplit/>
        </w:trPr>
        <w:tc>
          <w:tcPr>
            <w:tcW w:type="dxa" w:w="3900"/>
            <w:tcBorders>
              <w:top w:val="single" w:color="DFDAEC" w:sz="1"/>
              <w:left w:val="single" w:color="DFDAEC" w:sz="1"/>
              <w:bottom w:val="single" w:color="DFDAEC" w:sz="1"/>
              <w:right w:val="single" w:color="DFDAEC" w:sz="1"/>
            </w:tcBorders>
            <w:shd w:fill="F6F4FA" w:color="auto" w:val="clear"/>
            <w:tcMar>
              <w:top w:type="dxa" w:w="90"/>
              <w:left w:type="dxa" w:w="130"/>
              <w:bottom w:type="dxa" w:w="90"/>
              <w:right w:type="dxa" w:w="130"/>
            </w:tcMar>
            <w:vAlign w:val="center"/>
          </w:tcPr>
          <w:p>
            <w:pPr>
              <w:spacing w:after="0" w:before="0" w:line="250"/>
            </w:pPr>
            <w:r>
              <w:rPr>
                <w:rFonts w:ascii="Arial" w:cs="Arial" w:eastAsia="Arial" w:hAnsi="Arial"/>
                <w:b/>
                <w:bCs/>
                <w:i w:val="false"/>
                <w:iCs w:val="false"/>
                <w:color w:val="1F2430"/>
                <w:sz w:val="18"/>
                <w:szCs w:val="18"/>
              </w:rPr>
              <w:t xml:space="preserve">Escalation path, nights and weekends</w:t>
            </w:r>
          </w:p>
        </w:tc>
        <w:tc>
          <w:tcPr>
            <w:tcW w:type="dxa" w:w="6180"/>
            <w:tcBorders>
              <w:top w:val="single" w:color="DFDAEC" w:sz="1"/>
              <w:left w:val="single" w:color="DFDAEC" w:sz="1"/>
              <w:bottom w:val="single" w:color="DFDAEC" w:sz="1"/>
              <w:right w:val="single" w:color="DFDAEC" w:sz="1"/>
            </w:tcBorders>
            <w:shd w:fill="FFFFFF" w:color="auto" w:val="clear"/>
            <w:tcMar>
              <w:top w:type="dxa" w:w="90"/>
              <w:left w:type="dxa" w:w="130"/>
              <w:bottom w:type="dxa" w:w="90"/>
              <w:right w:type="dxa" w:w="130"/>
            </w:tcMar>
            <w:vAlign w:val="center"/>
          </w:tcPr>
          <w:p>
            <w:pPr>
              <w:spacing w:after="0" w:before="0" w:line="250"/>
            </w:pPr>
            <w:r>
              <w:rPr>
                <w:rFonts w:ascii="Arial" w:cs="Arial" w:eastAsia="Arial" w:hAnsi="Arial"/>
                <w:b w:val="false"/>
                <w:bCs w:val="false"/>
                <w:i w:val="false"/>
                <w:iCs w:val="false"/>
                <w:color w:val="5C6270"/>
                <w:sz w:val="18"/>
                <w:szCs w:val="18"/>
              </w:rPr>
              <w:t xml:space="preserve"/>
            </w:r>
          </w:p>
        </w:tc>
      </w:tr>
      <w:tr>
        <w:trPr>
          <w:cantSplit/>
        </w:trPr>
        <w:tc>
          <w:tcPr>
            <w:tcW w:type="dxa" w:w="3900"/>
            <w:tcBorders>
              <w:top w:val="single" w:color="DFDAEC" w:sz="1"/>
              <w:left w:val="single" w:color="DFDAEC" w:sz="1"/>
              <w:bottom w:val="single" w:color="DFDAEC" w:sz="1"/>
              <w:right w:val="single" w:color="DFDAEC" w:sz="1"/>
            </w:tcBorders>
            <w:shd w:fill="F6F4FA" w:color="auto" w:val="clear"/>
            <w:tcMar>
              <w:top w:type="dxa" w:w="90"/>
              <w:left w:type="dxa" w:w="130"/>
              <w:bottom w:type="dxa" w:w="90"/>
              <w:right w:type="dxa" w:w="130"/>
            </w:tcMar>
            <w:vAlign w:val="center"/>
          </w:tcPr>
          <w:p>
            <w:pPr>
              <w:spacing w:after="0" w:before="0" w:line="250"/>
            </w:pPr>
            <w:r>
              <w:rPr>
                <w:rFonts w:ascii="Arial" w:cs="Arial" w:eastAsia="Arial" w:hAnsi="Arial"/>
                <w:b/>
                <w:bCs/>
                <w:i w:val="false"/>
                <w:iCs w:val="false"/>
                <w:color w:val="1F2430"/>
                <w:sz w:val="18"/>
                <w:szCs w:val="18"/>
              </w:rPr>
              <w:t xml:space="preserve">Digital Forms Library scope</w:t>
            </w:r>
          </w:p>
        </w:tc>
        <w:tc>
          <w:tcPr>
            <w:tcW w:type="dxa" w:w="6180"/>
            <w:tcBorders>
              <w:top w:val="single" w:color="DFDAEC" w:sz="1"/>
              <w:left w:val="single" w:color="DFDAEC" w:sz="1"/>
              <w:bottom w:val="single" w:color="DFDAEC" w:sz="1"/>
              <w:right w:val="single" w:color="DFDAEC" w:sz="1"/>
            </w:tcBorders>
            <w:shd w:fill="FFFFFF" w:color="auto" w:val="clear"/>
            <w:tcMar>
              <w:top w:type="dxa" w:w="90"/>
              <w:left w:type="dxa" w:w="130"/>
              <w:bottom w:type="dxa" w:w="90"/>
              <w:right w:type="dxa" w:w="130"/>
            </w:tcMar>
            <w:vAlign w:val="center"/>
          </w:tcPr>
          <w:p>
            <w:pPr>
              <w:spacing w:after="0" w:before="0" w:line="250"/>
            </w:pPr>
            <w:r>
              <w:rPr>
                <w:rFonts w:ascii="Arial" w:cs="Arial" w:eastAsia="Arial" w:hAnsi="Arial"/>
                <w:b w:val="false"/>
                <w:bCs w:val="false"/>
                <w:i w:val="false"/>
                <w:iCs w:val="false"/>
                <w:color w:val="5C6270"/>
                <w:sz w:val="18"/>
                <w:szCs w:val="18"/>
              </w:rPr>
              <w:t xml:space="preserve"/>
            </w:r>
          </w:p>
        </w:tc>
      </w:tr>
      <w:tr>
        <w:trPr>
          <w:cantSplit/>
        </w:trPr>
        <w:tc>
          <w:tcPr>
            <w:tcW w:type="dxa" w:w="3900"/>
            <w:tcBorders>
              <w:top w:val="single" w:color="DFDAEC" w:sz="1"/>
              <w:left w:val="single" w:color="DFDAEC" w:sz="1"/>
              <w:bottom w:val="single" w:color="DFDAEC" w:sz="1"/>
              <w:right w:val="single" w:color="DFDAEC" w:sz="1"/>
            </w:tcBorders>
            <w:shd w:fill="F6F4FA" w:color="auto" w:val="clear"/>
            <w:tcMar>
              <w:top w:type="dxa" w:w="90"/>
              <w:left w:type="dxa" w:w="130"/>
              <w:bottom w:type="dxa" w:w="90"/>
              <w:right w:type="dxa" w:w="130"/>
            </w:tcMar>
            <w:vAlign w:val="center"/>
          </w:tcPr>
          <w:p>
            <w:pPr>
              <w:spacing w:after="0" w:before="0" w:line="250"/>
            </w:pPr>
            <w:r>
              <w:rPr>
                <w:rFonts w:ascii="Arial" w:cs="Arial" w:eastAsia="Arial" w:hAnsi="Arial"/>
                <w:b/>
                <w:bCs/>
                <w:i w:val="false"/>
                <w:iCs w:val="false"/>
                <w:color w:val="1F2430"/>
                <w:sz w:val="18"/>
                <w:szCs w:val="18"/>
              </w:rPr>
              <w:t xml:space="preserve">Review session cadence</w:t>
            </w:r>
          </w:p>
        </w:tc>
        <w:tc>
          <w:tcPr>
            <w:tcW w:type="dxa" w:w="6180"/>
            <w:tcBorders>
              <w:top w:val="single" w:color="DFDAEC" w:sz="1"/>
              <w:left w:val="single" w:color="DFDAEC" w:sz="1"/>
              <w:bottom w:val="single" w:color="DFDAEC" w:sz="1"/>
              <w:right w:val="single" w:color="DFDAEC" w:sz="1"/>
            </w:tcBorders>
            <w:shd w:fill="FFFFFF" w:color="auto" w:val="clear"/>
            <w:tcMar>
              <w:top w:type="dxa" w:w="90"/>
              <w:left w:type="dxa" w:w="130"/>
              <w:bottom w:type="dxa" w:w="90"/>
              <w:right w:type="dxa" w:w="130"/>
            </w:tcMar>
            <w:vAlign w:val="center"/>
          </w:tcPr>
          <w:p>
            <w:pPr>
              <w:spacing w:after="0" w:before="0" w:line="250"/>
            </w:pPr>
            <w:r>
              <w:rPr>
                <w:rFonts w:ascii="Arial" w:cs="Arial" w:eastAsia="Arial" w:hAnsi="Arial"/>
                <w:b w:val="false"/>
                <w:bCs w:val="false"/>
                <w:i w:val="false"/>
                <w:iCs w:val="false"/>
                <w:color w:val="5C6270"/>
                <w:sz w:val="18"/>
                <w:szCs w:val="18"/>
              </w:rPr>
              <w:t xml:space="preserve"/>
            </w:r>
          </w:p>
        </w:tc>
      </w:tr>
      <w:tr>
        <w:trPr>
          <w:cantSplit/>
        </w:trPr>
        <w:tc>
          <w:tcPr>
            <w:tcW w:type="dxa" w:w="3900"/>
            <w:tcBorders>
              <w:top w:val="single" w:color="DFDAEC" w:sz="1"/>
              <w:left w:val="single" w:color="DFDAEC" w:sz="1"/>
              <w:bottom w:val="single" w:color="DFDAEC" w:sz="1"/>
              <w:right w:val="single" w:color="DFDAEC" w:sz="1"/>
            </w:tcBorders>
            <w:shd w:fill="F6F4FA" w:color="auto" w:val="clear"/>
            <w:tcMar>
              <w:top w:type="dxa" w:w="90"/>
              <w:left w:type="dxa" w:w="130"/>
              <w:bottom w:type="dxa" w:w="90"/>
              <w:right w:type="dxa" w:w="130"/>
            </w:tcMar>
            <w:vAlign w:val="center"/>
          </w:tcPr>
          <w:p>
            <w:pPr>
              <w:spacing w:after="0" w:before="0" w:line="250"/>
            </w:pPr>
            <w:r>
              <w:rPr>
                <w:rFonts w:ascii="Arial" w:cs="Arial" w:eastAsia="Arial" w:hAnsi="Arial"/>
                <w:b/>
                <w:bCs/>
                <w:i w:val="false"/>
                <w:iCs w:val="false"/>
                <w:color w:val="1F2430"/>
                <w:sz w:val="18"/>
                <w:szCs w:val="18"/>
              </w:rPr>
              <w:t xml:space="preserve">Target Phase 1 completion date</w:t>
            </w:r>
          </w:p>
        </w:tc>
        <w:tc>
          <w:tcPr>
            <w:tcW w:type="dxa" w:w="6180"/>
            <w:tcBorders>
              <w:top w:val="single" w:color="DFDAEC" w:sz="1"/>
              <w:left w:val="single" w:color="DFDAEC" w:sz="1"/>
              <w:bottom w:val="single" w:color="DFDAEC" w:sz="1"/>
              <w:right w:val="single" w:color="DFDAEC" w:sz="1"/>
            </w:tcBorders>
            <w:shd w:fill="FFFFFF" w:color="auto" w:val="clear"/>
            <w:tcMar>
              <w:top w:type="dxa" w:w="90"/>
              <w:left w:type="dxa" w:w="130"/>
              <w:bottom w:type="dxa" w:w="90"/>
              <w:right w:type="dxa" w:w="130"/>
            </w:tcMar>
            <w:vAlign w:val="center"/>
          </w:tcPr>
          <w:p>
            <w:pPr>
              <w:spacing w:after="0" w:before="0" w:line="250"/>
            </w:pPr>
            <w:r>
              <w:rPr>
                <w:rFonts w:ascii="Arial" w:cs="Arial" w:eastAsia="Arial" w:hAnsi="Arial"/>
                <w:b w:val="false"/>
                <w:bCs w:val="false"/>
                <w:i w:val="false"/>
                <w:iCs w:val="false"/>
                <w:color w:val="5C6270"/>
                <w:sz w:val="18"/>
                <w:szCs w:val="18"/>
              </w:rPr>
              <w:t xml:space="preserve"/>
            </w:r>
          </w:p>
        </w:tc>
      </w:tr>
      <w:tr>
        <w:trPr>
          <w:cantSplit/>
        </w:trPr>
        <w:tc>
          <w:tcPr>
            <w:tcW w:type="dxa" w:w="3900"/>
            <w:tcBorders>
              <w:top w:val="single" w:color="DFDAEC" w:sz="1"/>
              <w:left w:val="single" w:color="DFDAEC" w:sz="1"/>
              <w:bottom w:val="single" w:color="DFDAEC" w:sz="1"/>
              <w:right w:val="single" w:color="DFDAEC" w:sz="1"/>
            </w:tcBorders>
            <w:shd w:fill="F6F4FA" w:color="auto" w:val="clear"/>
            <w:tcMar>
              <w:top w:type="dxa" w:w="90"/>
              <w:left w:type="dxa" w:w="130"/>
              <w:bottom w:type="dxa" w:w="90"/>
              <w:right w:type="dxa" w:w="130"/>
            </w:tcMar>
            <w:vAlign w:val="center"/>
          </w:tcPr>
          <w:p>
            <w:pPr>
              <w:spacing w:after="0" w:before="0" w:line="250"/>
            </w:pPr>
            <w:r>
              <w:rPr>
                <w:rFonts w:ascii="Arial" w:cs="Arial" w:eastAsia="Arial" w:hAnsi="Arial"/>
                <w:b/>
                <w:bCs/>
                <w:i w:val="false"/>
                <w:iCs w:val="false"/>
                <w:color w:val="1F2430"/>
                <w:sz w:val="18"/>
                <w:szCs w:val="18"/>
              </w:rPr>
              <w:t xml:space="preserve">Indicative subscription rate, not binding</w:t>
            </w:r>
          </w:p>
        </w:tc>
        <w:tc>
          <w:tcPr>
            <w:tcW w:type="dxa" w:w="6180"/>
            <w:tcBorders>
              <w:top w:val="single" w:color="DFDAEC" w:sz="1"/>
              <w:left w:val="single" w:color="DFDAEC" w:sz="1"/>
              <w:bottom w:val="single" w:color="DFDAEC" w:sz="1"/>
              <w:right w:val="single" w:color="DFDAEC" w:sz="1"/>
            </w:tcBorders>
            <w:shd w:fill="FFFFFF" w:color="auto" w:val="clear"/>
            <w:tcMar>
              <w:top w:type="dxa" w:w="90"/>
              <w:left w:type="dxa" w:w="130"/>
              <w:bottom w:type="dxa" w:w="90"/>
              <w:right w:type="dxa" w:w="130"/>
            </w:tcMar>
            <w:vAlign w:val="center"/>
          </w:tcPr>
          <w:p>
            <w:pPr>
              <w:spacing w:after="0" w:before="0" w:line="250"/>
            </w:pPr>
            <w:r>
              <w:rPr>
                <w:rFonts w:ascii="Arial" w:cs="Arial" w:eastAsia="Arial" w:hAnsi="Arial"/>
                <w:b w:val="false"/>
                <w:bCs w:val="false"/>
                <w:i w:val="false"/>
                <w:iCs w:val="false"/>
                <w:color w:val="5C6270"/>
                <w:sz w:val="18"/>
                <w:szCs w:val="18"/>
              </w:rPr>
              <w:t xml:space="preserve">_______ beds at $108 per bed per month</w:t>
            </w:r>
          </w:p>
        </w:tc>
      </w:tr>
    </w:tbl>
    <w:p>
      <w:pPr>
        <w:keepNext w:val="false"/>
        <w:spacing w:after="0" w:before="0" w:line="160"/>
      </w:pPr>
      <w:r>
        <w:rPr>
          <w:rFonts w:ascii="Arial" w:cs="Arial" w:eastAsia="Arial" w:hAnsi="Arial"/>
          <w:sz w:val="2"/>
          <w:szCs w:val="2"/>
        </w:rPr>
        <w:t xml:space="preserve"/>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rPr>
          <w:cantSplit/>
        </w:trPr>
        <w:tc>
          <w:tcPr>
            <w:tcW w:type="dxa" w:w="10080"/>
            <w:tcBorders>
              <w:top w:val="single" w:color="8A6100" w:sz="2"/>
              <w:left w:val="single" w:color="8A6100" w:sz="18"/>
              <w:bottom w:val="single" w:color="8A6100" w:sz="2"/>
              <w:right w:val="single" w:color="8A6100" w:sz="2"/>
            </w:tcBorders>
            <w:shd w:fill="FDF6E6" w:color="auto" w:val="clear"/>
            <w:tcMar>
              <w:top w:type="dxa" w:w="140"/>
              <w:left w:type="dxa" w:w="170"/>
              <w:bottom w:type="dxa" w:w="140"/>
              <w:right w:type="dxa" w:w="170"/>
            </w:tcMar>
          </w:tcPr>
          <w:p>
            <w:pPr>
              <w:keepNext/>
              <w:spacing w:after="60" w:before="0"/>
            </w:pPr>
            <w:r>
              <w:rPr>
                <w:rFonts w:ascii="Arial" w:cs="Arial" w:eastAsia="Arial" w:hAnsi="Arial"/>
                <w:b/>
                <w:bCs/>
                <w:color w:val="8A6100"/>
                <w:sz w:val="19"/>
                <w:szCs w:val="19"/>
              </w:rPr>
              <w:t xml:space="preserve">Open items for counsel review</w:t>
            </w:r>
          </w:p>
          <w:p>
            <w:pPr>
              <w:spacing w:after="0" w:before="0" w:line="264"/>
            </w:pPr>
            <w:r>
              <w:rPr>
                <w:rFonts w:ascii="Arial" w:cs="Arial" w:eastAsia="Arial" w:hAnsi="Arial"/>
                <w:color w:val="1F2430"/>
                <w:sz w:val="18"/>
                <w:szCs w:val="18"/>
              </w:rPr>
              <w:t xml:space="preserve">Three items in this draft are placeholders and require attorney input before this document is released to any facility. First, the liability cap at Article 12.2 is unset. Second, confirm that the care, custody, and control language at Article 4.3 aligns with CareTech's property and general liability coverage, and with the facility's, since the equipment sits in the facility's building under CareTech's title. Third, confirm the de-identified data provision at Article 7.3 against the corresponding clauses in the executed vendor agreements, so that the rights granted here are rights CareTech actually holds.</w:t>
            </w:r>
          </w:p>
        </w:tc>
      </w:tr>
    </w:tbl>
    <w:p>
      <w:pPr>
        <w:keepNext/>
        <w:pBdr>
          <w:bottom w:val="single" w:color="DFDAEC" w:sz="6" w:space="4"/>
        </w:pBdr>
        <w:spacing w:after="100" w:before="260"/>
      </w:pPr>
      <w:r>
        <w:rPr>
          <w:rFonts w:ascii="Arial" w:cs="Arial" w:eastAsia="Arial" w:hAnsi="Arial"/>
          <w:b/>
          <w:bCs/>
          <w:color w:val="6B4C9A"/>
          <w:sz w:val="23"/>
          <w:szCs w:val="23"/>
        </w:rPr>
        <w:t xml:space="preserve">Version Log</w:t>
      </w:r>
    </w:p>
    <w:p>
      <w:pPr>
        <w:keepNext/>
        <w:spacing w:after="0" w:before="0" w:line="60"/>
      </w:pPr>
      <w:r>
        <w:rPr>
          <w:rFonts w:ascii="Arial" w:cs="Arial" w:eastAsia="Arial" w:hAnsi="Arial"/>
          <w:sz w:val="2"/>
          <w:szCs w:val="2"/>
        </w:rPr>
        <w:t xml:space="preserve"/>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300"/>
        <w:gridCol w:w="1900"/>
        <w:gridCol w:w="6880"/>
      </w:tblGrid>
      <w:tr>
        <w:trPr>
          <w:cantSplit/>
          <w:tblHeader/>
        </w:trPr>
        <w:tc>
          <w:tcPr>
            <w:tcW w:type="dxa" w:w="1300"/>
            <w:tcBorders>
              <w:top w:val="single" w:color="6B4C9A" w:sz="1"/>
              <w:left w:val="single" w:color="6B4C9A" w:sz="1"/>
              <w:bottom w:val="single" w:color="6B4C9A" w:sz="1"/>
              <w:right w:val="single" w:color="6B4C9A" w:sz="1"/>
            </w:tcBorders>
            <w:shd w:fill="6B4C9A" w:color="auto" w:val="clear"/>
            <w:tcMar>
              <w:top w:type="dxa" w:w="90"/>
              <w:left w:type="dxa" w:w="130"/>
              <w:bottom w:type="dxa" w:w="90"/>
              <w:right w:type="dxa" w:w="130"/>
            </w:tcMar>
            <w:vAlign w:val="center"/>
          </w:tcPr>
          <w:p>
            <w:pPr>
              <w:spacing w:after="0" w:before="0" w:line="250"/>
            </w:pPr>
            <w:r>
              <w:rPr>
                <w:rFonts w:ascii="Arial" w:cs="Arial" w:eastAsia="Arial" w:hAnsi="Arial"/>
                <w:b/>
                <w:bCs/>
                <w:i w:val="false"/>
                <w:iCs w:val="false"/>
                <w:color w:val="FFFFFF"/>
                <w:sz w:val="18"/>
                <w:szCs w:val="18"/>
              </w:rPr>
              <w:t xml:space="preserve">Version</w:t>
            </w:r>
          </w:p>
        </w:tc>
        <w:tc>
          <w:tcPr>
            <w:tcW w:type="dxa" w:w="1900"/>
            <w:tcBorders>
              <w:top w:val="single" w:color="6B4C9A" w:sz="1"/>
              <w:left w:val="single" w:color="6B4C9A" w:sz="1"/>
              <w:bottom w:val="single" w:color="6B4C9A" w:sz="1"/>
              <w:right w:val="single" w:color="6B4C9A" w:sz="1"/>
            </w:tcBorders>
            <w:shd w:fill="6B4C9A" w:color="auto" w:val="clear"/>
            <w:tcMar>
              <w:top w:type="dxa" w:w="90"/>
              <w:left w:type="dxa" w:w="130"/>
              <w:bottom w:type="dxa" w:w="90"/>
              <w:right w:type="dxa" w:w="130"/>
            </w:tcMar>
            <w:vAlign w:val="center"/>
          </w:tcPr>
          <w:p>
            <w:pPr>
              <w:spacing w:after="0" w:before="0" w:line="250"/>
            </w:pPr>
            <w:r>
              <w:rPr>
                <w:rFonts w:ascii="Arial" w:cs="Arial" w:eastAsia="Arial" w:hAnsi="Arial"/>
                <w:b/>
                <w:bCs/>
                <w:i w:val="false"/>
                <w:iCs w:val="false"/>
                <w:color w:val="FFFFFF"/>
                <w:sz w:val="18"/>
                <w:szCs w:val="18"/>
              </w:rPr>
              <w:t xml:space="preserve">Date</w:t>
            </w:r>
          </w:p>
        </w:tc>
        <w:tc>
          <w:tcPr>
            <w:tcW w:type="dxa" w:w="6880"/>
            <w:tcBorders>
              <w:top w:val="single" w:color="6B4C9A" w:sz="1"/>
              <w:left w:val="single" w:color="6B4C9A" w:sz="1"/>
              <w:bottom w:val="single" w:color="6B4C9A" w:sz="1"/>
              <w:right w:val="single" w:color="6B4C9A" w:sz="1"/>
            </w:tcBorders>
            <w:shd w:fill="6B4C9A" w:color="auto" w:val="clear"/>
            <w:tcMar>
              <w:top w:type="dxa" w:w="90"/>
              <w:left w:type="dxa" w:w="130"/>
              <w:bottom w:type="dxa" w:w="90"/>
              <w:right w:type="dxa" w:w="130"/>
            </w:tcMar>
            <w:vAlign w:val="center"/>
          </w:tcPr>
          <w:p>
            <w:pPr>
              <w:spacing w:after="0" w:before="0" w:line="250"/>
            </w:pPr>
            <w:r>
              <w:rPr>
                <w:rFonts w:ascii="Arial" w:cs="Arial" w:eastAsia="Arial" w:hAnsi="Arial"/>
                <w:b/>
                <w:bCs/>
                <w:i w:val="false"/>
                <w:iCs w:val="false"/>
                <w:color w:val="FFFFFF"/>
                <w:sz w:val="18"/>
                <w:szCs w:val="18"/>
              </w:rPr>
              <w:t xml:space="preserve">Changes</w:t>
            </w:r>
          </w:p>
        </w:tc>
      </w:tr>
      <w:tr>
        <w:trPr>
          <w:cantSplit/>
        </w:trPr>
        <w:tc>
          <w:tcPr>
            <w:tcW w:type="dxa" w:w="1300"/>
            <w:tcBorders>
              <w:top w:val="single" w:color="DFDAEC" w:sz="1"/>
              <w:left w:val="single" w:color="DFDAEC" w:sz="1"/>
              <w:bottom w:val="single" w:color="DFDAEC" w:sz="1"/>
              <w:right w:val="single" w:color="DFDAEC" w:sz="1"/>
            </w:tcBorders>
            <w:shd w:fill="FFFFFF" w:color="auto" w:val="clear"/>
            <w:tcMar>
              <w:top w:type="dxa" w:w="90"/>
              <w:left w:type="dxa" w:w="130"/>
              <w:bottom w:type="dxa" w:w="90"/>
              <w:right w:type="dxa" w:w="130"/>
            </w:tcMar>
            <w:vAlign w:val="center"/>
          </w:tcPr>
          <w:p>
            <w:pPr>
              <w:spacing w:after="0" w:before="0" w:line="250"/>
            </w:pPr>
            <w:r>
              <w:rPr>
                <w:rFonts w:ascii="Arial" w:cs="Arial" w:eastAsia="Arial" w:hAnsi="Arial"/>
                <w:b w:val="false"/>
                <w:bCs w:val="false"/>
                <w:i w:val="false"/>
                <w:iCs w:val="false"/>
                <w:color w:val="1F2430"/>
                <w:sz w:val="18"/>
                <w:szCs w:val="18"/>
              </w:rPr>
              <w:t xml:space="preserve">v1</w:t>
            </w:r>
          </w:p>
        </w:tc>
        <w:tc>
          <w:tcPr>
            <w:tcW w:type="dxa" w:w="1900"/>
            <w:tcBorders>
              <w:top w:val="single" w:color="DFDAEC" w:sz="1"/>
              <w:left w:val="single" w:color="DFDAEC" w:sz="1"/>
              <w:bottom w:val="single" w:color="DFDAEC" w:sz="1"/>
              <w:right w:val="single" w:color="DFDAEC" w:sz="1"/>
            </w:tcBorders>
            <w:shd w:fill="FFFFFF" w:color="auto" w:val="clear"/>
            <w:tcMar>
              <w:top w:type="dxa" w:w="90"/>
              <w:left w:type="dxa" w:w="130"/>
              <w:bottom w:type="dxa" w:w="90"/>
              <w:right w:type="dxa" w:w="130"/>
            </w:tcMar>
            <w:vAlign w:val="center"/>
          </w:tcPr>
          <w:p>
            <w:pPr>
              <w:spacing w:after="0" w:before="0" w:line="250"/>
            </w:pPr>
            <w:r>
              <w:rPr>
                <w:rFonts w:ascii="Arial" w:cs="Arial" w:eastAsia="Arial" w:hAnsi="Arial"/>
                <w:b w:val="false"/>
                <w:bCs w:val="false"/>
                <w:i w:val="false"/>
                <w:iCs w:val="false"/>
                <w:color w:val="1F2430"/>
                <w:sz w:val="18"/>
                <w:szCs w:val="18"/>
              </w:rPr>
              <w:t xml:space="preserve">July 27, 2026</w:t>
            </w:r>
          </w:p>
        </w:tc>
        <w:tc>
          <w:tcPr>
            <w:tcW w:type="dxa" w:w="6880"/>
            <w:tcBorders>
              <w:top w:val="single" w:color="DFDAEC" w:sz="1"/>
              <w:left w:val="single" w:color="DFDAEC" w:sz="1"/>
              <w:bottom w:val="single" w:color="DFDAEC" w:sz="1"/>
              <w:right w:val="single" w:color="DFDAEC" w:sz="1"/>
            </w:tcBorders>
            <w:shd w:fill="FFFFFF" w:color="auto" w:val="clear"/>
            <w:tcMar>
              <w:top w:type="dxa" w:w="90"/>
              <w:left w:type="dxa" w:w="130"/>
              <w:bottom w:type="dxa" w:w="90"/>
              <w:right w:type="dxa" w:w="130"/>
            </w:tcMar>
            <w:vAlign w:val="center"/>
          </w:tcPr>
          <w:p>
            <w:pPr>
              <w:spacing w:after="0" w:before="0" w:line="250"/>
            </w:pPr>
            <w:r>
              <w:rPr>
                <w:rFonts w:ascii="Arial" w:cs="Arial" w:eastAsia="Arial" w:hAnsi="Arial"/>
                <w:b w:val="false"/>
                <w:bCs w:val="false"/>
                <w:i w:val="false"/>
                <w:iCs w:val="false"/>
                <w:color w:val="1F2430"/>
                <w:sz w:val="18"/>
                <w:szCs w:val="18"/>
              </w:rPr>
              <w:t xml:space="preserve">Initial draft. Phased structure with no fixed end date. No fee to facility. Equipment at no charge on a care, custody, and control basis. Automatic conversion to subscription removed, affirmative signature required.</w:t>
            </w:r>
          </w:p>
        </w:tc>
      </w:tr>
    </w:tbl>
    <w:sectPr>
      <w:headerReference w:type="default" r:id="rId7"/>
      <w:footerReference w:type="default" r:id="rId8"/>
      <w:pgSz w:w="12240" w:h="15840" w:orient="portrait"/>
      <w:pgMar w:top="1500" w:right="1080" w:bottom="1500" w:left="1080" w:header="460" w:footer="400"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10080"/>
      </w:tabs>
      <w:spacing w:after="40" w:before="0"/>
    </w:pPr>
    <w:r>
      <w:rPr>
        <w:rFonts w:ascii="Arial" w:cs="Arial" w:eastAsia="Arial" w:hAnsi="Arial"/>
        <w:color w:val="5C6270"/>
        <w:sz w:val="14"/>
        <w:szCs w:val="14"/>
      </w:rPr>
      <w:t xml:space="preserve">CTG-CT-PILOT-001  |  v1  |  July 27, 2026  |  Confidential</w:t>
    </w:r>
    <w:r>
      <w:rPr>
        <w:rFonts w:ascii="Arial" w:cs="Arial" w:eastAsia="Arial" w:hAnsi="Arial"/>
        <w:sz w:val="14"/>
        <w:szCs w:val="14"/>
      </w:rPr>
      <w:t xml:space="preserve">	</w:t>
    </w:r>
    <w:r>
      <w:rPr>
        <w:rFonts w:ascii="Arial" w:cs="Arial" w:eastAsia="Arial" w:hAnsi="Arial"/>
        <w:color w:val="5C6270"/>
        <w:sz w:val="14"/>
        <w:szCs w:val="14"/>
      </w:rPr>
      <w:t xml:space="preserve">Page </w:t>
    </w:r>
    <w:r>
      <w:rPr>
        <w:rFonts w:ascii="Arial" w:cs="Arial" w:eastAsia="Arial" w:hAnsi="Arial"/>
        <w:color w:val="5C6270"/>
        <w:sz w:val="14"/>
        <w:szCs w:val="14"/>
      </w:rPr>
      <w:fldChar w:fldCharType="begin"/>
      <w:instrText xml:space="preserve">PAGE</w:instrText>
      <w:fldChar w:fldCharType="separate"/>
      <w:fldChar w:fldCharType="end"/>
    </w:r>
    <w:r>
      <w:rPr>
        <w:rFonts w:ascii="Arial" w:cs="Arial" w:eastAsia="Arial" w:hAnsi="Arial"/>
        <w:color w:val="5C6270"/>
        <w:sz w:val="14"/>
        <w:szCs w:val="14"/>
      </w:rPr>
      <w:t xml:space="preserve"> of </w:t>
    </w:r>
    <w:r>
      <w:rPr>
        <w:rFonts w:ascii="Arial" w:cs="Arial" w:eastAsia="Arial" w:hAnsi="Arial"/>
        <w:color w:val="5C6270"/>
        <w:sz w:val="14"/>
        <w:szCs w:val="14"/>
      </w:rPr>
      <w:fldChar w:fldCharType="begin"/>
      <w:instrText xml:space="preserve">NUMPAGES</w:instrText>
      <w:fldChar w:fldCharType="separate"/>
      <w:fldChar w:fldCharType="end"/>
    </w:r>
  </w:p>
  <w:p>
    <w:pPr>
      <w:spacing w:after="0" w:before="0"/>
    </w:pPr>
    <w:r>
      <w:drawing>
        <wp:inline distT="0" distB="0" distL="0" distR="0">
          <wp:extent cx="6400800" cy="381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6400800" cy="381000"/>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Style w:val="Header"/>
      <w:spacing w:before="0"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v:shapetype>
        <v:shape id="SafeLinQDraftWatermark" o:spid="_x0000_s2049" type="#_x0000_t136" style="position:absolute;margin-left:0;margin-top:0;width:468pt;height:117pt;rotation:315;z-index:-251654144;mso-position-horizontal:center;mso-position-horizontal-relative:margin;mso-position-vertical:center;mso-position-vertical-relative:margin" o:allowincell="f" fillcolor="#D6CEE8" stroked="f">
          <v:fill opacity=".5"/>
          <v:textpath style="font-family:&quot;Arial&quot;;font-size:1pt;font-weight:bold" string="DRAFT"/>
        </v:shape>
      </w:pict>
    </w:r>
  </w:p>
  <w:p>
    <w:pPr>
      <w:spacing w:after="0" w:before="0"/>
    </w:pPr>
    <w:r>
      <w:drawing>
        <wp:inline distT="0" distB="0" distL="0" distR="0">
          <wp:extent cx="6400800" cy="381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6400800" cy="38100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F2430"/>
        <w:sz w:val="19"/>
        <w:szCs w:val="19"/>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Relationship Id="rId0" Type="http://schemas.openxmlformats.org/officeDocument/2006/relationships/image" Target="media/81817e545205dd96bcf6298c2c4d3754ed8bd326.png"/></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160423082ba5f833b82df9854f83182426d053f5.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SafeLinQ Pilot Participation Agreement</dc:title>
  <dc:creator>CareTech Group, LLC</dc:creator>
  <dc:description>CTG-CT-PILOT-001 v1</dc:description>
  <cp:lastModifiedBy>Un-named</cp:lastModifiedBy>
  <cp:revision>1</cp:revision>
  <dcterms:created xsi:type="dcterms:W3CDTF">2026-07-27T16:51:40.888Z</dcterms:created>
  <dcterms:modified xsi:type="dcterms:W3CDTF">2026-07-27T16:51:40.889Z</dcterms:modified>
</cp:coreProperties>
</file>

<file path=docProps/custom.xml><?xml version="1.0" encoding="utf-8"?>
<Properties xmlns="http://schemas.openxmlformats.org/officeDocument/2006/custom-properties" xmlns:vt="http://schemas.openxmlformats.org/officeDocument/2006/docPropsVTypes"/>
</file>